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7FE2AF">
      <w:pPr>
        <w:adjustRightInd w:val="0"/>
        <w:snapToGrid w:val="0"/>
        <w:spacing w:before="240" w:after="240"/>
        <w:ind w:right="261"/>
        <w:jc w:val="left"/>
        <w:rPr>
          <w:rFonts w:eastAsia="黑体"/>
          <w:b/>
          <w:sz w:val="32"/>
        </w:rPr>
      </w:pPr>
      <w:bookmarkStart w:id="0" w:name="_Hlk490167125"/>
      <w:r>
        <w:rPr>
          <w:rFonts w:ascii="Times New Roman" w:hAnsi="Times New Roman" w:eastAsia="黑体" w:cs="Times New Roman"/>
          <w:sz w:val="32"/>
          <w:szCs w:val="32"/>
        </w:rPr>
        <w:tab/>
      </w:r>
      <w:r>
        <w:rPr>
          <w:rFonts w:ascii="Times New Roman" w:hAnsi="Times New Roman" w:eastAsia="黑体" w:cs="Times New Roman"/>
          <w:sz w:val="32"/>
          <w:szCs w:val="32"/>
        </w:rPr>
        <w:tab/>
      </w:r>
      <w:r>
        <w:rPr>
          <w:rFonts w:eastAsia="黑体"/>
          <w:b/>
          <w:sz w:val="32"/>
        </w:rPr>
        <w:drawing>
          <wp:inline distT="0" distB="0" distL="0" distR="0">
            <wp:extent cx="1533525" cy="1047750"/>
            <wp:effectExtent l="0" t="0" r="0" b="0"/>
            <wp:docPr id="1"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E:\BIM\P-BIM协会标准\P-BIM标准2016年工作\发布\更新\协会商标（黑白）.jpg"/>
                    <pic:cNvPicPr>
                      <a:picLocks noChangeAspect="1" noChangeArrowheads="1"/>
                    </pic:cNvPicPr>
                  </pic:nvPicPr>
                  <pic:blipFill>
                    <a:blip r:embed="rId6"/>
                    <a:srcRect/>
                    <a:stretch>
                      <a:fillRect/>
                    </a:stretch>
                  </pic:blipFill>
                  <pic:spPr>
                    <a:xfrm>
                      <a:off x="0" y="0"/>
                      <a:ext cx="1533525" cy="1047750"/>
                    </a:xfrm>
                    <a:prstGeom prst="rect">
                      <a:avLst/>
                    </a:prstGeom>
                    <a:noFill/>
                    <a:ln>
                      <a:noFill/>
                    </a:ln>
                  </pic:spPr>
                </pic:pic>
              </a:graphicData>
            </a:graphic>
          </wp:inline>
        </w:drawing>
      </w:r>
    </w:p>
    <w:p w14:paraId="0B10E518">
      <w:pPr>
        <w:pBdr>
          <w:bottom w:val="single" w:color="auto" w:sz="8" w:space="1"/>
        </w:pBdr>
        <w:tabs>
          <w:tab w:val="left" w:pos="6120"/>
        </w:tabs>
        <w:spacing w:before="240" w:after="240"/>
        <w:jc w:val="right"/>
        <w:outlineLvl w:val="0"/>
        <w:rPr>
          <w:rFonts w:eastAsia="黑体"/>
          <w:b/>
          <w:sz w:val="36"/>
        </w:rPr>
      </w:pPr>
      <w:bookmarkStart w:id="1" w:name="_Toc469405546"/>
      <w:bookmarkStart w:id="2" w:name="_Toc469392173"/>
      <w:bookmarkStart w:id="3" w:name="_Toc3642"/>
      <w:bookmarkStart w:id="4" w:name="_Toc23256458"/>
      <w:bookmarkStart w:id="5" w:name="_Toc9512"/>
      <w:bookmarkStart w:id="6" w:name="_Toc5580"/>
      <w:bookmarkStart w:id="7" w:name="_Toc24627"/>
      <w:bookmarkStart w:id="8" w:name="_Toc11861"/>
      <w:bookmarkStart w:id="9" w:name="_Toc32065"/>
      <w:bookmarkStart w:id="10" w:name="_Toc11953"/>
      <w:bookmarkStart w:id="11" w:name="_Toc24894"/>
      <w:bookmarkStart w:id="12" w:name="_Toc1872"/>
      <w:bookmarkStart w:id="13" w:name="_Toc11420"/>
      <w:bookmarkStart w:id="14" w:name="_Toc10730"/>
      <w:bookmarkStart w:id="15" w:name="_Toc12898496"/>
      <w:bookmarkStart w:id="16" w:name="_Toc16168"/>
      <w:bookmarkStart w:id="17" w:name="_Toc3155"/>
      <w:bookmarkStart w:id="18" w:name="_Toc10171"/>
      <w:bookmarkStart w:id="19" w:name="_Toc12295"/>
      <w:bookmarkStart w:id="20" w:name="_Toc15876"/>
      <w:bookmarkStart w:id="21" w:name="_Toc28305"/>
      <w:bookmarkStart w:id="22" w:name="_Toc22113494"/>
      <w:r>
        <w:rPr>
          <w:rFonts w:eastAsia="黑体"/>
          <w:b/>
          <w:sz w:val="36"/>
        </w:rPr>
        <w:t>T/CECS  XX-</w:t>
      </w:r>
      <w:bookmarkEnd w:id="1"/>
      <w:bookmarkEnd w:id="2"/>
      <w:r>
        <w:rPr>
          <w:rFonts w:eastAsia="黑体"/>
          <w:b/>
          <w:sz w:val="36"/>
        </w:rPr>
        <w:t>20</w:t>
      </w:r>
      <w:r>
        <w:rPr>
          <w:rFonts w:hint="eastAsia" w:eastAsia="黑体"/>
          <w:b/>
          <w:sz w:val="36"/>
          <w:lang w:val="en-US" w:eastAsia="zh-CN"/>
        </w:rPr>
        <w:t>2</w:t>
      </w:r>
      <w:r>
        <w:rPr>
          <w:rFonts w:eastAsia="黑体"/>
          <w:b/>
          <w:sz w:val="36"/>
        </w:rPr>
        <w:t>X</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4A84119C">
      <w:pPr>
        <w:jc w:val="center"/>
        <w:rPr>
          <w:rFonts w:ascii="黑体" w:hAnsi="黑体" w:eastAsia="黑体" w:cs="宋体"/>
          <w:kern w:val="0"/>
          <w:sz w:val="36"/>
          <w:szCs w:val="32"/>
        </w:rPr>
      </w:pPr>
    </w:p>
    <w:p w14:paraId="1AD3A401">
      <w:pPr>
        <w:autoSpaceDE w:val="0"/>
        <w:autoSpaceDN w:val="0"/>
        <w:adjustRightInd w:val="0"/>
        <w:jc w:val="center"/>
        <w:rPr>
          <w:rFonts w:ascii="黑体" w:hAnsi="黑体" w:eastAsia="黑体" w:cs="宋体"/>
          <w:kern w:val="0"/>
          <w:sz w:val="36"/>
          <w:szCs w:val="32"/>
        </w:rPr>
      </w:pPr>
      <w:r>
        <w:rPr>
          <w:rFonts w:hint="eastAsia" w:ascii="黑体" w:hAnsi="黑体" w:eastAsia="黑体" w:cs="宋体"/>
          <w:kern w:val="0"/>
          <w:sz w:val="36"/>
          <w:szCs w:val="32"/>
        </w:rPr>
        <w:t xml:space="preserve">中 国 工 程 建 设 </w:t>
      </w:r>
      <w:r>
        <w:rPr>
          <w:rFonts w:hint="eastAsia" w:ascii="黑体" w:hAnsi="黑体" w:eastAsia="黑体" w:cs="宋体"/>
          <w:kern w:val="0"/>
          <w:sz w:val="36"/>
          <w:szCs w:val="32"/>
          <w:lang w:val="en-US" w:eastAsia="zh-CN"/>
        </w:rPr>
        <w:t xml:space="preserve">标 准 化 </w:t>
      </w:r>
      <w:r>
        <w:rPr>
          <w:rFonts w:hint="eastAsia" w:ascii="黑体" w:hAnsi="黑体" w:eastAsia="黑体" w:cs="宋体"/>
          <w:kern w:val="0"/>
          <w:sz w:val="36"/>
          <w:szCs w:val="32"/>
        </w:rPr>
        <w:t>协 会 标 准</w:t>
      </w:r>
    </w:p>
    <w:p w14:paraId="6DD385F0">
      <w:pPr>
        <w:tabs>
          <w:tab w:val="left" w:pos="6120"/>
        </w:tabs>
        <w:adjustRightInd w:val="0"/>
        <w:snapToGrid w:val="0"/>
        <w:jc w:val="center"/>
        <w:rPr>
          <w:rFonts w:ascii="Times New Roman" w:hAnsi="Times New Roman" w:eastAsia="黑体" w:cs="Times New Roman"/>
          <w:sz w:val="32"/>
          <w:szCs w:val="28"/>
        </w:rPr>
      </w:pPr>
    </w:p>
    <w:p w14:paraId="449EC1DB">
      <w:pPr>
        <w:tabs>
          <w:tab w:val="left" w:pos="6120"/>
        </w:tabs>
        <w:adjustRightInd w:val="0"/>
        <w:snapToGrid w:val="0"/>
        <w:jc w:val="center"/>
        <w:rPr>
          <w:rFonts w:ascii="Times New Roman" w:hAnsi="Times New Roman" w:eastAsia="黑体" w:cs="Times New Roman"/>
          <w:sz w:val="32"/>
          <w:szCs w:val="28"/>
        </w:rPr>
      </w:pPr>
    </w:p>
    <w:p w14:paraId="04FE841A">
      <w:pPr>
        <w:autoSpaceDE w:val="0"/>
        <w:autoSpaceDN w:val="0"/>
        <w:adjustRightInd w:val="0"/>
        <w:jc w:val="center"/>
        <w:rPr>
          <w:rFonts w:ascii="宋体" w:eastAsia="宋体" w:cs="宋体"/>
          <w:kern w:val="0"/>
          <w:sz w:val="32"/>
          <w:szCs w:val="32"/>
        </w:rPr>
      </w:pPr>
    </w:p>
    <w:p w14:paraId="61A659AA">
      <w:pPr>
        <w:jc w:val="center"/>
        <w:rPr>
          <w:rFonts w:ascii="Times New Roman" w:hAnsi="Times New Roman" w:eastAsia="黑体" w:cs="Times New Roman"/>
          <w:sz w:val="36"/>
          <w:szCs w:val="32"/>
        </w:rPr>
      </w:pPr>
    </w:p>
    <w:p w14:paraId="7380116A">
      <w:pPr>
        <w:jc w:val="center"/>
        <w:rPr>
          <w:rFonts w:ascii="Times New Roman" w:hAnsi="Times New Roman" w:eastAsia="黑体" w:cs="Times New Roman"/>
          <w:sz w:val="36"/>
          <w:szCs w:val="32"/>
        </w:rPr>
      </w:pPr>
    </w:p>
    <w:p w14:paraId="5DC190F3">
      <w:pPr>
        <w:autoSpaceDE w:val="0"/>
        <w:autoSpaceDN w:val="0"/>
        <w:adjustRightInd w:val="0"/>
        <w:spacing w:before="4" w:line="360" w:lineRule="auto"/>
        <w:ind w:right="84"/>
        <w:jc w:val="center"/>
        <w:rPr>
          <w:rFonts w:hint="eastAsia" w:ascii="Times New Roman" w:hAnsi="Times New Roman" w:eastAsia="黑体" w:cs="Times New Roman"/>
          <w:sz w:val="48"/>
          <w:szCs w:val="44"/>
        </w:rPr>
      </w:pPr>
      <w:r>
        <w:rPr>
          <w:rFonts w:hint="eastAsia" w:ascii="Times New Roman" w:hAnsi="Times New Roman" w:eastAsia="黑体" w:cs="Times New Roman"/>
          <w:sz w:val="48"/>
          <w:szCs w:val="44"/>
        </w:rPr>
        <w:t>核电建设项目建筑信息模型（BIM）</w:t>
      </w:r>
    </w:p>
    <w:p w14:paraId="00C7FDAB">
      <w:pPr>
        <w:autoSpaceDE w:val="0"/>
        <w:autoSpaceDN w:val="0"/>
        <w:adjustRightInd w:val="0"/>
        <w:spacing w:before="4" w:line="360" w:lineRule="auto"/>
        <w:ind w:right="84"/>
        <w:jc w:val="center"/>
        <w:rPr>
          <w:rFonts w:ascii="Times New Roman" w:hAnsi="Times New Roman" w:eastAsia="黑体" w:cs="Times New Roman"/>
          <w:sz w:val="48"/>
          <w:szCs w:val="44"/>
        </w:rPr>
      </w:pPr>
      <w:r>
        <w:rPr>
          <w:rFonts w:hint="eastAsia" w:ascii="Times New Roman" w:hAnsi="Times New Roman" w:eastAsia="黑体" w:cs="Times New Roman"/>
          <w:sz w:val="48"/>
          <w:szCs w:val="44"/>
        </w:rPr>
        <w:t>施工应用标准</w:t>
      </w:r>
    </w:p>
    <w:p w14:paraId="686658CE">
      <w:pPr>
        <w:jc w:val="center"/>
        <w:rPr>
          <w:rFonts w:hint="eastAsia" w:ascii="Times New Roman" w:hAnsi="Times New Roman" w:cs="Times New Roman" w:eastAsiaTheme="minorEastAsia"/>
          <w:sz w:val="32"/>
          <w:szCs w:val="32"/>
          <w:highlight w:val="none"/>
          <w:lang w:eastAsia="zh-CN"/>
        </w:rPr>
      </w:pPr>
      <w:r>
        <w:rPr>
          <w:rFonts w:hint="eastAsia" w:ascii="Times New Roman" w:hAnsi="Times New Roman" w:cs="Times New Roman"/>
          <w:sz w:val="32"/>
          <w:szCs w:val="32"/>
          <w:highlight w:val="none"/>
        </w:rPr>
        <w:t xml:space="preserve">Standard for </w:t>
      </w:r>
      <w:r>
        <w:rPr>
          <w:rFonts w:hint="eastAsia" w:ascii="Times New Roman" w:hAnsi="Times New Roman" w:cs="Times New Roman"/>
          <w:sz w:val="32"/>
          <w:szCs w:val="32"/>
          <w:highlight w:val="none"/>
          <w:lang w:val="en-US" w:eastAsia="zh-CN"/>
        </w:rPr>
        <w:t>building information modeling</w:t>
      </w:r>
      <w:r>
        <w:rPr>
          <w:rFonts w:hint="eastAsia" w:ascii="Times New Roman" w:hAnsi="Times New Roman" w:cs="Times New Roman"/>
          <w:sz w:val="32"/>
          <w:szCs w:val="32"/>
          <w:highlight w:val="none"/>
        </w:rPr>
        <w:t xml:space="preserve"> in </w:t>
      </w:r>
      <w:r>
        <w:rPr>
          <w:rFonts w:hint="eastAsia" w:ascii="Times New Roman" w:hAnsi="Times New Roman" w:cs="Times New Roman"/>
          <w:sz w:val="32"/>
          <w:szCs w:val="32"/>
          <w:highlight w:val="none"/>
          <w:lang w:val="en-US" w:eastAsia="zh-CN"/>
        </w:rPr>
        <w:t>n</w:t>
      </w:r>
      <w:r>
        <w:rPr>
          <w:rFonts w:hint="eastAsia" w:ascii="Times New Roman" w:hAnsi="Times New Roman" w:cs="Times New Roman"/>
          <w:sz w:val="32"/>
          <w:szCs w:val="32"/>
          <w:highlight w:val="none"/>
        </w:rPr>
        <w:t xml:space="preserve">uclear </w:t>
      </w:r>
      <w:r>
        <w:rPr>
          <w:rFonts w:hint="eastAsia" w:ascii="Times New Roman" w:hAnsi="Times New Roman" w:cs="Times New Roman"/>
          <w:sz w:val="32"/>
          <w:szCs w:val="32"/>
          <w:highlight w:val="none"/>
          <w:lang w:val="en-US" w:eastAsia="zh-CN"/>
        </w:rPr>
        <w:t>p</w:t>
      </w:r>
      <w:r>
        <w:rPr>
          <w:rFonts w:hint="eastAsia" w:ascii="Times New Roman" w:hAnsi="Times New Roman" w:cs="Times New Roman"/>
          <w:sz w:val="32"/>
          <w:szCs w:val="32"/>
          <w:highlight w:val="none"/>
        </w:rPr>
        <w:t xml:space="preserve">ower </w:t>
      </w:r>
      <w:r>
        <w:rPr>
          <w:rFonts w:hint="eastAsia" w:ascii="Times New Roman" w:hAnsi="Times New Roman" w:cs="Times New Roman"/>
          <w:sz w:val="32"/>
          <w:szCs w:val="32"/>
          <w:highlight w:val="none"/>
          <w:lang w:val="en-US" w:eastAsia="zh-CN"/>
        </w:rPr>
        <w:t>p</w:t>
      </w:r>
      <w:r>
        <w:rPr>
          <w:rFonts w:hint="eastAsia" w:ascii="Times New Roman" w:hAnsi="Times New Roman" w:cs="Times New Roman"/>
          <w:sz w:val="32"/>
          <w:szCs w:val="32"/>
          <w:highlight w:val="none"/>
        </w:rPr>
        <w:t xml:space="preserve">lant </w:t>
      </w:r>
      <w:r>
        <w:rPr>
          <w:rFonts w:hint="eastAsia" w:ascii="Times New Roman" w:hAnsi="Times New Roman" w:cs="Times New Roman"/>
          <w:sz w:val="32"/>
          <w:szCs w:val="32"/>
          <w:highlight w:val="none"/>
          <w:lang w:val="en-US" w:eastAsia="zh-CN"/>
        </w:rPr>
        <w:t>construction</w:t>
      </w:r>
    </w:p>
    <w:p w14:paraId="71E66685">
      <w:pPr>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w:t>
      </w:r>
      <w:r>
        <w:rPr>
          <w:rFonts w:hint="eastAsia" w:ascii="Times New Roman" w:hAnsi="Times New Roman" w:eastAsia="黑体" w:cs="Times New Roman"/>
          <w:sz w:val="32"/>
          <w:szCs w:val="32"/>
          <w:lang w:val="en-US" w:eastAsia="zh-CN"/>
        </w:rPr>
        <w:t>征求意见</w:t>
      </w:r>
      <w:r>
        <w:rPr>
          <w:rFonts w:hint="eastAsia" w:ascii="Times New Roman" w:hAnsi="Times New Roman" w:eastAsia="黑体" w:cs="Times New Roman"/>
          <w:sz w:val="32"/>
          <w:szCs w:val="32"/>
        </w:rPr>
        <w:t>稿）</w:t>
      </w:r>
    </w:p>
    <w:p w14:paraId="08ED9F21">
      <w:pPr>
        <w:jc w:val="center"/>
        <w:rPr>
          <w:rFonts w:ascii="Times New Roman" w:hAnsi="Times New Roman" w:eastAsia="黑体" w:cs="Times New Roman"/>
          <w:sz w:val="40"/>
          <w:szCs w:val="32"/>
        </w:rPr>
      </w:pPr>
    </w:p>
    <w:p w14:paraId="10A5A354">
      <w:pPr>
        <w:jc w:val="center"/>
        <w:rPr>
          <w:rFonts w:ascii="Times New Roman" w:hAnsi="Times New Roman" w:eastAsia="黑体" w:cs="Times New Roman"/>
          <w:sz w:val="40"/>
          <w:szCs w:val="32"/>
        </w:rPr>
      </w:pPr>
    </w:p>
    <w:p w14:paraId="134895CE">
      <w:pPr>
        <w:jc w:val="center"/>
        <w:rPr>
          <w:rFonts w:ascii="Times New Roman" w:hAnsi="Times New Roman" w:eastAsia="黑体" w:cs="Times New Roman"/>
          <w:sz w:val="40"/>
          <w:szCs w:val="32"/>
        </w:rPr>
      </w:pPr>
    </w:p>
    <w:p w14:paraId="235F7379">
      <w:pPr>
        <w:jc w:val="center"/>
        <w:rPr>
          <w:rFonts w:ascii="Times New Roman" w:hAnsi="Times New Roman" w:eastAsia="黑体" w:cs="Times New Roman"/>
          <w:sz w:val="40"/>
          <w:szCs w:val="32"/>
        </w:rPr>
      </w:pPr>
    </w:p>
    <w:p w14:paraId="06E829DD">
      <w:pPr>
        <w:jc w:val="center"/>
        <w:rPr>
          <w:rFonts w:ascii="Times New Roman" w:hAnsi="Times New Roman" w:eastAsia="黑体" w:cs="Times New Roman"/>
          <w:sz w:val="40"/>
          <w:szCs w:val="32"/>
        </w:rPr>
      </w:pPr>
    </w:p>
    <w:p w14:paraId="55980920">
      <w:pPr>
        <w:jc w:val="center"/>
        <w:rPr>
          <w:rFonts w:ascii="Times New Roman" w:hAnsi="Times New Roman" w:eastAsia="黑体" w:cs="Times New Roman"/>
          <w:sz w:val="28"/>
          <w:szCs w:val="32"/>
        </w:rPr>
      </w:pPr>
      <w:r>
        <w:rPr>
          <w:rFonts w:hint="eastAsia" w:ascii="Times New Roman" w:hAnsi="Times New Roman" w:eastAsia="黑体" w:cs="Times New Roman"/>
          <w:sz w:val="28"/>
          <w:szCs w:val="32"/>
        </w:rPr>
        <w:t>20</w:t>
      </w:r>
      <w:r>
        <w:rPr>
          <w:rFonts w:hint="eastAsia" w:ascii="Times New Roman" w:hAnsi="Times New Roman" w:eastAsia="黑体" w:cs="Times New Roman"/>
          <w:sz w:val="28"/>
          <w:szCs w:val="32"/>
          <w:lang w:val="en-US" w:eastAsia="zh-CN"/>
        </w:rPr>
        <w:t>**</w:t>
      </w:r>
      <w:r>
        <w:rPr>
          <w:rFonts w:hint="eastAsia" w:ascii="Times New Roman" w:hAnsi="Times New Roman" w:eastAsia="黑体" w:cs="Times New Roman"/>
          <w:sz w:val="28"/>
          <w:szCs w:val="32"/>
        </w:rPr>
        <w:t>年</w:t>
      </w:r>
      <w:r>
        <w:rPr>
          <w:rFonts w:hint="eastAsia" w:ascii="Times New Roman" w:hAnsi="Times New Roman" w:eastAsia="黑体" w:cs="Times New Roman"/>
          <w:sz w:val="28"/>
          <w:szCs w:val="32"/>
          <w:lang w:val="en-US" w:eastAsia="zh-CN"/>
        </w:rPr>
        <w:t>**</w:t>
      </w:r>
      <w:r>
        <w:rPr>
          <w:rFonts w:hint="eastAsia" w:ascii="Times New Roman" w:hAnsi="Times New Roman" w:eastAsia="黑体" w:cs="Times New Roman"/>
          <w:sz w:val="28"/>
          <w:szCs w:val="32"/>
        </w:rPr>
        <w:t>月</w:t>
      </w:r>
    </w:p>
    <w:p w14:paraId="7F9882F3">
      <w:pPr>
        <w:widowControl/>
        <w:jc w:val="left"/>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69DA6568">
      <w:pPr>
        <w:spacing w:before="240" w:after="240" w:line="360" w:lineRule="auto"/>
        <w:jc w:val="center"/>
        <w:rPr>
          <w:rFonts w:ascii="Times New Roman" w:hAnsi="Times New Roman" w:eastAsia="黑体" w:cs="Times New Roman"/>
          <w:b/>
          <w:sz w:val="30"/>
          <w:szCs w:val="30"/>
        </w:rPr>
      </w:pPr>
      <w:r>
        <w:rPr>
          <w:rFonts w:hint="eastAsia" w:ascii="Times New Roman" w:hAnsi="Times New Roman" w:eastAsia="黑体" w:cs="Times New Roman"/>
          <w:b/>
          <w:sz w:val="30"/>
          <w:szCs w:val="30"/>
        </w:rPr>
        <w:t xml:space="preserve">前 </w:t>
      </w:r>
      <w:r>
        <w:rPr>
          <w:rFonts w:ascii="Times New Roman" w:hAnsi="Times New Roman" w:eastAsia="黑体" w:cs="Times New Roman"/>
          <w:b/>
          <w:sz w:val="30"/>
          <w:szCs w:val="30"/>
        </w:rPr>
        <w:t xml:space="preserve">   </w:t>
      </w:r>
      <w:r>
        <w:rPr>
          <w:rFonts w:hint="eastAsia" w:ascii="Times New Roman" w:hAnsi="Times New Roman" w:eastAsia="黑体" w:cs="Times New Roman"/>
          <w:b/>
          <w:sz w:val="30"/>
          <w:szCs w:val="30"/>
        </w:rPr>
        <w:t>言</w:t>
      </w:r>
    </w:p>
    <w:p w14:paraId="2ECFED63">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eastAsia="宋体" w:cs="Times New Roman"/>
          <w:highlight w:val="none"/>
          <w:lang w:val="en-US" w:eastAsia="zh-CN"/>
        </w:rPr>
      </w:pPr>
      <w:r>
        <w:rPr>
          <w:rFonts w:cs="Times New Roman"/>
          <w:highlight w:val="none"/>
        </w:rPr>
        <w:t>根据</w:t>
      </w:r>
      <w:r>
        <w:rPr>
          <w:rFonts w:hint="eastAsia" w:cs="Times New Roman"/>
          <w:highlight w:val="none"/>
        </w:rPr>
        <w:t>中国工程建设标准化协会</w:t>
      </w:r>
      <w:r>
        <w:rPr>
          <w:rFonts w:cs="Times New Roman"/>
          <w:highlight w:val="none"/>
        </w:rPr>
        <w:t>《关于印发</w:t>
      </w:r>
      <w:r>
        <w:rPr>
          <w:rFonts w:hint="eastAsia" w:ascii="宋体" w:hAnsi="宋体" w:eastAsia="宋体" w:cs="宋体"/>
          <w:highlight w:val="none"/>
        </w:rPr>
        <w:t>&lt;</w:t>
      </w:r>
      <w:r>
        <w:rPr>
          <w:rFonts w:cs="Times New Roman"/>
          <w:highlight w:val="none"/>
        </w:rPr>
        <w:t>20</w:t>
      </w:r>
      <w:r>
        <w:rPr>
          <w:rFonts w:hint="eastAsia" w:cs="Times New Roman"/>
          <w:highlight w:val="none"/>
          <w:lang w:val="en-US" w:eastAsia="zh-CN"/>
        </w:rPr>
        <w:t>22</w:t>
      </w:r>
      <w:r>
        <w:rPr>
          <w:rFonts w:cs="Times New Roman"/>
          <w:highlight w:val="none"/>
        </w:rPr>
        <w:t>年</w:t>
      </w:r>
      <w:r>
        <w:rPr>
          <w:rFonts w:hint="eastAsia" w:cs="Times New Roman"/>
          <w:highlight w:val="none"/>
          <w:lang w:val="en-US" w:eastAsia="zh-CN"/>
        </w:rPr>
        <w:t>第一批协会标准制订、修订计划</w:t>
      </w:r>
      <w:r>
        <w:rPr>
          <w:rFonts w:hint="eastAsia" w:ascii="宋体" w:hAnsi="宋体" w:eastAsia="宋体" w:cs="宋体"/>
          <w:highlight w:val="none"/>
        </w:rPr>
        <w:t>&gt;</w:t>
      </w:r>
      <w:r>
        <w:rPr>
          <w:rFonts w:cs="Times New Roman"/>
          <w:highlight w:val="none"/>
        </w:rPr>
        <w:t>的通知》（</w:t>
      </w:r>
      <w:r>
        <w:rPr>
          <w:rFonts w:hint="eastAsia" w:cs="Times New Roman"/>
          <w:highlight w:val="none"/>
          <w:lang w:val="en-US" w:eastAsia="zh-CN"/>
        </w:rPr>
        <w:t>建标协字</w:t>
      </w:r>
      <w:r>
        <w:rPr>
          <w:rFonts w:ascii="宋体" w:hAnsi="宋体" w:cs="宋体"/>
        </w:rPr>
        <w:t>〔</w:t>
      </w:r>
      <w:r>
        <w:rPr>
          <w:rFonts w:hint="eastAsia" w:cs="Times New Roman"/>
          <w:highlight w:val="none"/>
        </w:rPr>
        <w:t>20</w:t>
      </w:r>
      <w:r>
        <w:rPr>
          <w:rFonts w:hint="eastAsia" w:cs="Times New Roman"/>
          <w:highlight w:val="none"/>
          <w:lang w:val="en-US" w:eastAsia="zh-CN"/>
        </w:rPr>
        <w:t>22</w:t>
      </w:r>
      <w:r>
        <w:rPr>
          <w:rFonts w:hint="eastAsia" w:ascii="宋体" w:hAnsi="宋体" w:eastAsia="宋体" w:cs="宋体"/>
          <w:highlight w:val="none"/>
        </w:rPr>
        <w:t>〕</w:t>
      </w:r>
      <w:r>
        <w:rPr>
          <w:rFonts w:hint="eastAsia" w:cs="Times New Roman"/>
          <w:highlight w:val="none"/>
          <w:lang w:val="en-US" w:eastAsia="zh-CN"/>
        </w:rPr>
        <w:t>第13</w:t>
      </w:r>
      <w:r>
        <w:rPr>
          <w:rFonts w:hint="eastAsia" w:cs="Times New Roman"/>
          <w:highlight w:val="none"/>
        </w:rPr>
        <w:t>号）</w:t>
      </w:r>
      <w:r>
        <w:rPr>
          <w:rFonts w:hint="eastAsia" w:cs="Times New Roman"/>
          <w:highlight w:val="none"/>
          <w:lang w:eastAsia="zh-CN"/>
        </w:rPr>
        <w:t>的</w:t>
      </w:r>
      <w:r>
        <w:rPr>
          <w:rFonts w:hint="eastAsia" w:cs="Times New Roman"/>
          <w:highlight w:val="none"/>
          <w:lang w:val="en-US" w:eastAsia="zh-CN"/>
        </w:rPr>
        <w:t>要求</w:t>
      </w:r>
      <w:r>
        <w:rPr>
          <w:rFonts w:cs="Times New Roman"/>
          <w:highlight w:val="none"/>
        </w:rPr>
        <w:t>，</w:t>
      </w:r>
      <w:r>
        <w:rPr>
          <w:rFonts w:hint="eastAsia" w:cs="Times New Roman"/>
          <w:highlight w:val="none"/>
          <w:lang w:val="en-US" w:eastAsia="zh-CN"/>
        </w:rPr>
        <w:t>编制组经深入调查研究，认真总结实践经验，参考国内外先进标准，并在广泛征求意见的基础上，制定本标准。</w:t>
      </w:r>
    </w:p>
    <w:p w14:paraId="17AB0B89">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cs="Times New Roman"/>
          <w:highlight w:val="yellow"/>
        </w:rPr>
      </w:pPr>
      <w:r>
        <w:rPr>
          <w:rFonts w:hint="eastAsia" w:cs="Times New Roman"/>
          <w:highlight w:val="none"/>
          <w:lang w:val="en-US" w:eastAsia="zh-CN"/>
        </w:rPr>
        <w:t>本标准共分9章和3个附录</w:t>
      </w:r>
      <w:bookmarkStart w:id="428" w:name="_GoBack"/>
      <w:bookmarkEnd w:id="428"/>
      <w:r>
        <w:rPr>
          <w:rFonts w:hint="eastAsia" w:cs="Times New Roman"/>
          <w:highlight w:val="none"/>
          <w:lang w:val="en-US" w:eastAsia="zh-CN"/>
        </w:rPr>
        <w:t>，主要内容包括：总则、术语、基本规定、施工模型、深化设计、技术准备、预制加工、施工实施、竣工交付等</w:t>
      </w:r>
      <w:r>
        <w:rPr>
          <w:rFonts w:hint="eastAsia" w:cs="Times New Roman"/>
          <w:highlight w:val="none"/>
        </w:rPr>
        <w:t>。</w:t>
      </w:r>
    </w:p>
    <w:p w14:paraId="36A8771A">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highlight w:val="none"/>
        </w:rPr>
      </w:pPr>
      <w:r>
        <w:rPr>
          <w:rFonts w:hint="eastAsia" w:cs="Times New Roman"/>
          <w:highlight w:val="none"/>
          <w:lang w:val="en-US" w:eastAsia="zh-CN"/>
        </w:rPr>
        <w:t>请注意本标准的某些内容可能直接或间接涉及专利，本标准的发布机构不承担识别这些专利的责任。</w:t>
      </w:r>
    </w:p>
    <w:p w14:paraId="33CCE732">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cs="Times New Roman"/>
          <w:highlight w:val="none"/>
        </w:rPr>
      </w:pPr>
      <w:r>
        <w:rPr>
          <w:rFonts w:hint="eastAsia" w:cs="Times New Roman"/>
          <w:highlight w:val="none"/>
        </w:rPr>
        <w:t>本</w:t>
      </w:r>
      <w:r>
        <w:rPr>
          <w:rFonts w:hint="eastAsia" w:cs="Times New Roman"/>
          <w:highlight w:val="none"/>
          <w:lang w:val="en-US" w:eastAsia="zh-CN"/>
        </w:rPr>
        <w:t>标准</w:t>
      </w:r>
      <w:r>
        <w:rPr>
          <w:rFonts w:hint="eastAsia" w:cs="Times New Roman"/>
          <w:highlight w:val="none"/>
        </w:rPr>
        <w:t>由中国工程建设标准化协会建筑</w:t>
      </w:r>
      <w:r>
        <w:rPr>
          <w:rFonts w:hint="eastAsia" w:cs="Times New Roman"/>
          <w:highlight w:val="none"/>
          <w:lang w:val="en-US" w:eastAsia="zh-CN"/>
        </w:rPr>
        <w:t>与城市</w:t>
      </w:r>
      <w:r>
        <w:rPr>
          <w:rFonts w:hint="eastAsia" w:cs="Times New Roman"/>
          <w:highlight w:val="none"/>
        </w:rPr>
        <w:t>信息模型专业委员会负责管理，由</w:t>
      </w:r>
      <w:r>
        <w:rPr>
          <w:rFonts w:hint="eastAsia" w:cs="Times New Roman"/>
          <w:highlight w:val="none"/>
          <w:lang w:val="en-US" w:eastAsia="zh-CN"/>
        </w:rPr>
        <w:t>核工业工程研究设计有限公司</w:t>
      </w:r>
      <w:r>
        <w:rPr>
          <w:rFonts w:hint="eastAsia" w:cs="Times New Roman"/>
          <w:highlight w:val="none"/>
        </w:rPr>
        <w:t>负责具体</w:t>
      </w:r>
      <w:r>
        <w:rPr>
          <w:rFonts w:hint="eastAsia" w:cs="Times New Roman"/>
          <w:highlight w:val="none"/>
          <w:lang w:val="en-US" w:eastAsia="zh-CN"/>
        </w:rPr>
        <w:t>技术</w:t>
      </w:r>
      <w:r>
        <w:rPr>
          <w:rFonts w:hint="eastAsia" w:cs="Times New Roman"/>
          <w:highlight w:val="none"/>
        </w:rPr>
        <w:t>内容的解释。执行过程中</w:t>
      </w:r>
      <w:r>
        <w:rPr>
          <w:rFonts w:hint="eastAsia" w:cs="Times New Roman"/>
          <w:highlight w:val="none"/>
          <w:lang w:eastAsia="zh-CN"/>
        </w:rPr>
        <w:t>，</w:t>
      </w:r>
      <w:r>
        <w:rPr>
          <w:rFonts w:hint="eastAsia" w:cs="Times New Roman"/>
          <w:highlight w:val="none"/>
        </w:rPr>
        <w:t>如有意见</w:t>
      </w:r>
      <w:r>
        <w:rPr>
          <w:rFonts w:hint="eastAsia" w:cs="Times New Roman"/>
          <w:highlight w:val="none"/>
          <w:lang w:val="en-US" w:eastAsia="zh-CN"/>
        </w:rPr>
        <w:t>或</w:t>
      </w:r>
      <w:r>
        <w:rPr>
          <w:rFonts w:hint="eastAsia" w:cs="Times New Roman"/>
          <w:highlight w:val="none"/>
        </w:rPr>
        <w:t>建议，请</w:t>
      </w:r>
      <w:r>
        <w:rPr>
          <w:rFonts w:hint="eastAsia" w:cs="Times New Roman"/>
          <w:highlight w:val="none"/>
          <w:lang w:val="en-US" w:eastAsia="zh-CN"/>
        </w:rPr>
        <w:t>反馈给核工业工程研究设计有限公司</w:t>
      </w:r>
      <w:r>
        <w:rPr>
          <w:rFonts w:hint="eastAsia" w:cs="Times New Roman"/>
          <w:highlight w:val="none"/>
        </w:rPr>
        <w:t>（地址：</w:t>
      </w:r>
      <w:r>
        <w:rPr>
          <w:rFonts w:hint="eastAsia" w:cs="Times New Roman"/>
          <w:highlight w:val="none"/>
          <w:lang w:val="en-US" w:eastAsia="zh-CN"/>
        </w:rPr>
        <w:t>北京市顺义区顺康路58号</w:t>
      </w:r>
      <w:r>
        <w:rPr>
          <w:rFonts w:hint="eastAsia" w:cs="Times New Roman"/>
          <w:highlight w:val="none"/>
        </w:rPr>
        <w:t>，邮编：</w:t>
      </w:r>
      <w:r>
        <w:rPr>
          <w:rFonts w:hint="eastAsia" w:cs="Times New Roman"/>
          <w:highlight w:val="none"/>
          <w:lang w:val="en-US" w:eastAsia="zh-CN"/>
        </w:rPr>
        <w:t>101300，邮箱：cni23-BIM@cni23.com</w:t>
      </w:r>
      <w:r>
        <w:rPr>
          <w:rFonts w:hint="eastAsia" w:cs="Times New Roman"/>
          <w:highlight w:val="none"/>
        </w:rPr>
        <w:t>）</w:t>
      </w:r>
    </w:p>
    <w:p w14:paraId="351FA0D4">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highlight w:val="none"/>
          <w:lang w:val="en-US" w:eastAsia="zh-CN"/>
        </w:rPr>
      </w:pPr>
      <w:r>
        <w:rPr>
          <w:rFonts w:hint="eastAsia" w:cs="Times New Roman"/>
          <w:highlight w:val="none"/>
        </w:rPr>
        <w:t>主 编 单 位 ：</w:t>
      </w:r>
      <w:r>
        <w:rPr>
          <w:rFonts w:hint="eastAsia" w:cs="Times New Roman"/>
          <w:highlight w:val="none"/>
          <w:lang w:val="en-US" w:eastAsia="zh-CN"/>
        </w:rPr>
        <w:t>中国核工业二三建设有限公司</w:t>
      </w:r>
    </w:p>
    <w:p w14:paraId="3AFF65E6">
      <w:pPr>
        <w:pStyle w:val="38"/>
        <w:ind w:left="0" w:leftChars="0" w:firstLine="2160" w:firstLineChars="900"/>
        <w:rPr>
          <w:rFonts w:hint="default" w:cs="Times New Roman"/>
          <w:highlight w:val="none"/>
          <w:lang w:val="en-US" w:eastAsia="zh-CN"/>
        </w:rPr>
      </w:pPr>
      <w:r>
        <w:rPr>
          <w:rFonts w:hint="eastAsia" w:cs="Times New Roman"/>
          <w:highlight w:val="none"/>
          <w:lang w:val="en-US" w:eastAsia="zh-CN"/>
        </w:rPr>
        <w:t>核工业工程研究设计有限公司</w:t>
      </w:r>
    </w:p>
    <w:p w14:paraId="70616410">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highlight w:val="none"/>
        </w:rPr>
      </w:pPr>
      <w:r>
        <w:rPr>
          <w:rFonts w:hint="eastAsia" w:cs="Times New Roman"/>
          <w:highlight w:val="none"/>
        </w:rPr>
        <w:t>参 编 单 位 ：中国核电工程有限公司</w:t>
      </w:r>
    </w:p>
    <w:p w14:paraId="710E7658">
      <w:pPr>
        <w:pStyle w:val="38"/>
        <w:ind w:left="0" w:leftChars="0" w:firstLine="2160" w:firstLineChars="900"/>
        <w:rPr>
          <w:rFonts w:hint="eastAsia" w:cs="Times New Roman"/>
          <w:highlight w:val="none"/>
        </w:rPr>
      </w:pPr>
      <w:r>
        <w:rPr>
          <w:rFonts w:hint="eastAsia" w:cs="Times New Roman"/>
          <w:highlight w:val="none"/>
        </w:rPr>
        <w:t>深圳中广核工程设计有限公司</w:t>
      </w:r>
    </w:p>
    <w:p w14:paraId="7C1E93BA">
      <w:pPr>
        <w:pStyle w:val="38"/>
        <w:ind w:left="0" w:leftChars="0" w:firstLine="2160" w:firstLineChars="900"/>
        <w:rPr>
          <w:rFonts w:hint="eastAsia" w:cs="Times New Roman"/>
          <w:highlight w:val="none"/>
        </w:rPr>
      </w:pPr>
      <w:r>
        <w:rPr>
          <w:rFonts w:hint="eastAsia" w:cs="Times New Roman"/>
          <w:highlight w:val="none"/>
        </w:rPr>
        <w:t>上海核工程研究设计院</w:t>
      </w:r>
    </w:p>
    <w:p w14:paraId="21431AAA">
      <w:pPr>
        <w:pStyle w:val="38"/>
        <w:ind w:left="0" w:leftChars="0" w:firstLine="2160" w:firstLineChars="900"/>
        <w:rPr>
          <w:rFonts w:hint="eastAsia" w:cs="Times New Roman"/>
          <w:highlight w:val="none"/>
        </w:rPr>
      </w:pPr>
      <w:r>
        <w:rPr>
          <w:rFonts w:hint="eastAsia" w:cs="Times New Roman"/>
          <w:highlight w:val="none"/>
        </w:rPr>
        <w:t>国核电力规划设计研究院有限公司</w:t>
      </w:r>
    </w:p>
    <w:p w14:paraId="7AEF8641">
      <w:pPr>
        <w:pStyle w:val="38"/>
        <w:ind w:left="0" w:leftChars="0" w:firstLine="2160" w:firstLineChars="900"/>
        <w:rPr>
          <w:rFonts w:hint="eastAsia" w:cs="Times New Roman"/>
          <w:highlight w:val="none"/>
        </w:rPr>
      </w:pPr>
      <w:r>
        <w:rPr>
          <w:rFonts w:hint="eastAsia" w:cs="Times New Roman"/>
          <w:highlight w:val="none"/>
        </w:rPr>
        <w:t>中国原子能科学研究院</w:t>
      </w:r>
    </w:p>
    <w:p w14:paraId="022B4ED9">
      <w:pPr>
        <w:pStyle w:val="38"/>
        <w:ind w:left="0" w:leftChars="0" w:firstLine="2160" w:firstLineChars="900"/>
        <w:rPr>
          <w:rFonts w:hint="eastAsia" w:cs="Times New Roman"/>
          <w:highlight w:val="none"/>
        </w:rPr>
      </w:pPr>
      <w:r>
        <w:rPr>
          <w:rFonts w:hint="eastAsia" w:cs="Times New Roman"/>
          <w:highlight w:val="none"/>
        </w:rPr>
        <w:t>中国五洲工程设计集团有限公司</w:t>
      </w:r>
    </w:p>
    <w:p w14:paraId="00B9B5BC">
      <w:pPr>
        <w:pStyle w:val="38"/>
        <w:ind w:left="0" w:leftChars="0" w:firstLine="2160" w:firstLineChars="900"/>
        <w:rPr>
          <w:rFonts w:hint="eastAsia" w:cs="Times New Roman"/>
          <w:highlight w:val="none"/>
        </w:rPr>
      </w:pPr>
      <w:r>
        <w:rPr>
          <w:rFonts w:hint="eastAsia" w:cs="Times New Roman"/>
          <w:highlight w:val="none"/>
        </w:rPr>
        <w:t>南华大学</w:t>
      </w:r>
    </w:p>
    <w:p w14:paraId="2D53A9A4">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highlight w:val="none"/>
          <w:lang w:val="en-US" w:eastAsia="zh-CN"/>
        </w:rPr>
      </w:pPr>
      <w:r>
        <w:rPr>
          <w:rFonts w:hint="eastAsia" w:cs="Times New Roman"/>
          <w:highlight w:val="none"/>
        </w:rPr>
        <w:t>主要起草人员：</w:t>
      </w:r>
      <w:r>
        <w:rPr>
          <w:rFonts w:hint="eastAsia" w:cs="Times New Roman"/>
          <w:highlight w:val="none"/>
          <w:lang w:val="en-US" w:eastAsia="zh-CN"/>
        </w:rPr>
        <w:t>杨远松   李雅斌   周波波   席利国   刘  超   刘文浩</w:t>
      </w:r>
    </w:p>
    <w:p w14:paraId="62222CE4">
      <w:pPr>
        <w:pStyle w:val="38"/>
        <w:ind w:left="0" w:leftChars="0" w:firstLine="2160" w:firstLineChars="900"/>
        <w:rPr>
          <w:rFonts w:hint="eastAsia" w:cs="Times New Roman"/>
          <w:highlight w:val="none"/>
          <w:lang w:val="en-US" w:eastAsia="zh-CN"/>
        </w:rPr>
      </w:pPr>
      <w:r>
        <w:rPr>
          <w:rFonts w:hint="eastAsia" w:eastAsia="宋体" w:cs="Times New Roman"/>
          <w:highlight w:val="none"/>
          <w:lang w:val="en-US" w:eastAsia="zh-CN"/>
        </w:rPr>
        <w:t>赵  丹</w:t>
      </w:r>
      <w:r>
        <w:rPr>
          <w:rFonts w:hint="eastAsia" w:cs="Times New Roman"/>
          <w:highlight w:val="none"/>
          <w:lang w:val="en-US" w:eastAsia="zh-CN"/>
        </w:rPr>
        <w:t xml:space="preserve">   张  勇   范  凯   马庆会   施发永   常海军</w:t>
      </w:r>
    </w:p>
    <w:p w14:paraId="5F69CF19">
      <w:pPr>
        <w:pStyle w:val="38"/>
        <w:ind w:left="0" w:leftChars="0" w:firstLine="2160" w:firstLineChars="900"/>
        <w:rPr>
          <w:rFonts w:hint="eastAsia" w:cs="Times New Roman"/>
          <w:highlight w:val="none"/>
          <w:lang w:val="en-US" w:eastAsia="zh-CN"/>
        </w:rPr>
      </w:pPr>
      <w:r>
        <w:rPr>
          <w:rFonts w:hint="eastAsia" w:cs="Times New Roman"/>
          <w:highlight w:val="none"/>
          <w:lang w:val="en-US" w:eastAsia="zh-CN"/>
        </w:rPr>
        <w:t>席晋辉   陈  异   刘海洋   周利明   张仁静   温颖帅</w:t>
      </w:r>
    </w:p>
    <w:p w14:paraId="0CCC46CB">
      <w:pPr>
        <w:pStyle w:val="38"/>
        <w:ind w:left="0" w:leftChars="0" w:firstLine="2160" w:firstLineChars="900"/>
        <w:rPr>
          <w:rFonts w:hint="eastAsia" w:cs="Times New Roman"/>
          <w:highlight w:val="none"/>
          <w:lang w:val="en-US" w:eastAsia="zh-CN"/>
        </w:rPr>
      </w:pPr>
      <w:r>
        <w:rPr>
          <w:rFonts w:hint="eastAsia" w:cs="Times New Roman"/>
          <w:highlight w:val="none"/>
          <w:lang w:val="en-US" w:eastAsia="zh-CN"/>
        </w:rPr>
        <w:t xml:space="preserve">颜晓疆   </w:t>
      </w:r>
      <w:r>
        <w:rPr>
          <w:rFonts w:hint="eastAsia" w:eastAsia="宋体" w:cs="Times New Roman"/>
          <w:highlight w:val="none"/>
          <w:lang w:val="en-US" w:eastAsia="zh-CN"/>
        </w:rPr>
        <w:t xml:space="preserve">郑玉栋   </w:t>
      </w:r>
      <w:r>
        <w:rPr>
          <w:rFonts w:hint="eastAsia" w:cs="Times New Roman"/>
          <w:highlight w:val="none"/>
          <w:lang w:val="en-US" w:eastAsia="zh-CN"/>
        </w:rPr>
        <w:t>韩国姣   申梦岭</w:t>
      </w:r>
      <w:r>
        <w:rPr>
          <w:rFonts w:hint="eastAsia" w:eastAsia="宋体" w:cs="Times New Roman"/>
          <w:highlight w:val="none"/>
          <w:lang w:val="en-US" w:eastAsia="zh-CN"/>
        </w:rPr>
        <w:t xml:space="preserve">   </w:t>
      </w:r>
      <w:r>
        <w:rPr>
          <w:rFonts w:hint="eastAsia" w:cs="Times New Roman"/>
          <w:highlight w:val="none"/>
          <w:lang w:val="en-US" w:eastAsia="zh-CN"/>
        </w:rPr>
        <w:t>周  巍   王石磊</w:t>
      </w:r>
    </w:p>
    <w:p w14:paraId="7ACDA4E5">
      <w:pPr>
        <w:pStyle w:val="38"/>
        <w:ind w:left="0" w:leftChars="0" w:firstLine="2160" w:firstLineChars="900"/>
        <w:rPr>
          <w:rFonts w:hint="eastAsia" w:eastAsia="宋体" w:cs="Times New Roman"/>
          <w:highlight w:val="none"/>
          <w:lang w:val="en-US" w:eastAsia="zh-CN"/>
        </w:rPr>
      </w:pPr>
      <w:r>
        <w:rPr>
          <w:rFonts w:hint="eastAsia" w:eastAsia="宋体" w:cs="Times New Roman"/>
          <w:highlight w:val="none"/>
          <w:lang w:val="en-US" w:eastAsia="zh-CN"/>
        </w:rPr>
        <w:t>苏仲亮   郭文文   包  露   杨  洋   张禹生   刘  龙</w:t>
      </w:r>
    </w:p>
    <w:p w14:paraId="6B7B31FF">
      <w:pPr>
        <w:pStyle w:val="38"/>
        <w:ind w:left="0" w:leftChars="0" w:firstLine="2160" w:firstLineChars="900"/>
        <w:rPr>
          <w:rFonts w:hint="eastAsia" w:cs="Times New Roman"/>
          <w:highlight w:val="none"/>
          <w:lang w:val="en-US" w:eastAsia="zh-CN"/>
        </w:rPr>
      </w:pPr>
      <w:r>
        <w:rPr>
          <w:rFonts w:hint="eastAsia" w:cs="Times New Roman"/>
          <w:highlight w:val="none"/>
          <w:lang w:val="en-US" w:eastAsia="zh-CN"/>
        </w:rPr>
        <w:t>徐国飞   梁鹏虎   王珑璋   徐城杰   王宗奎   张  贤</w:t>
      </w:r>
    </w:p>
    <w:p w14:paraId="60818E2E">
      <w:pPr>
        <w:pStyle w:val="38"/>
        <w:ind w:left="0" w:leftChars="0" w:firstLine="2160" w:firstLineChars="900"/>
        <w:rPr>
          <w:rFonts w:hint="default" w:eastAsia="宋体" w:cs="Times New Roman"/>
          <w:highlight w:val="none"/>
          <w:lang w:val="en-US" w:eastAsia="zh-CN"/>
        </w:rPr>
      </w:pPr>
      <w:r>
        <w:rPr>
          <w:rFonts w:hint="eastAsia" w:cs="Times New Roman"/>
          <w:highlight w:val="none"/>
          <w:lang w:val="en-US" w:eastAsia="zh-CN"/>
        </w:rPr>
        <w:t xml:space="preserve">刘林顶   刘安元   </w:t>
      </w:r>
      <w:r>
        <w:rPr>
          <w:rFonts w:hint="default" w:eastAsia="宋体" w:cs="Times New Roman"/>
          <w:highlight w:val="none"/>
          <w:lang w:val="en-US" w:eastAsia="zh-CN"/>
        </w:rPr>
        <w:t>王湘江</w:t>
      </w:r>
    </w:p>
    <w:p w14:paraId="44504EF0">
      <w:pPr>
        <w:pStyle w:val="38"/>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highlight w:val="none"/>
        </w:rPr>
      </w:pPr>
      <w:r>
        <w:rPr>
          <w:rFonts w:hint="eastAsia" w:cs="Times New Roman"/>
          <w:highlight w:val="none"/>
        </w:rPr>
        <w:t>主要</w:t>
      </w:r>
      <w:r>
        <w:rPr>
          <w:rFonts w:hint="eastAsia" w:eastAsia="宋体" w:cs="Times New Roman"/>
          <w:highlight w:val="none"/>
        </w:rPr>
        <w:t>审查</w:t>
      </w:r>
      <w:r>
        <w:rPr>
          <w:rFonts w:hint="eastAsia" w:cs="Times New Roman"/>
          <w:highlight w:val="none"/>
        </w:rPr>
        <w:t>人员：</w:t>
      </w:r>
    </w:p>
    <w:p w14:paraId="4FD10C66">
      <w:pPr>
        <w:bidi w:val="0"/>
      </w:pPr>
    </w:p>
    <w:p w14:paraId="0729FF44">
      <w:pPr>
        <w:pStyle w:val="38"/>
        <w:ind w:left="0" w:leftChars="0" w:firstLine="2160" w:firstLineChars="900"/>
        <w:rPr>
          <w:rFonts w:cs="Times New Roman"/>
          <w:highlight w:val="yellow"/>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9204D20">
      <w:pPr>
        <w:pStyle w:val="20"/>
        <w:keepNext w:val="0"/>
        <w:keepLines w:val="0"/>
        <w:pageBreakBefore w:val="0"/>
        <w:widowControl w:val="0"/>
        <w:tabs>
          <w:tab w:val="left" w:pos="284"/>
        </w:tabs>
        <w:kinsoku/>
        <w:wordWrap/>
        <w:overflowPunct/>
        <w:topLinePunct w:val="0"/>
        <w:autoSpaceDE/>
        <w:autoSpaceDN/>
        <w:bidi w:val="0"/>
        <w:adjustRightInd/>
        <w:snapToGrid/>
        <w:spacing w:line="360" w:lineRule="auto"/>
        <w:ind w:left="0" w:leftChars="0"/>
        <w:textAlignment w:val="auto"/>
        <w:outlineLvl w:val="0"/>
        <w:rPr>
          <w:rFonts w:eastAsia="宋体"/>
          <w:b w:val="0"/>
          <w:bCs/>
          <w:color w:val="000000" w:themeColor="text1"/>
          <w:sz w:val="32"/>
          <w14:textFill>
            <w14:solidFill>
              <w14:schemeClr w14:val="tx1"/>
            </w14:solidFill>
          </w14:textFill>
        </w:rPr>
      </w:pPr>
      <w:bookmarkStart w:id="23" w:name="_Toc28187"/>
      <w:bookmarkStart w:id="24" w:name="_Toc5176"/>
      <w:bookmarkStart w:id="25" w:name="_Toc1207"/>
      <w:bookmarkStart w:id="26" w:name="_Toc2647"/>
      <w:r>
        <w:rPr>
          <w:rFonts w:hint="eastAsia" w:eastAsia="宋体"/>
          <w:b w:val="0"/>
          <w:bCs/>
          <w:color w:val="000000" w:themeColor="text1"/>
          <w:sz w:val="32"/>
          <w14:textFill>
            <w14:solidFill>
              <w14:schemeClr w14:val="tx1"/>
            </w14:solidFill>
          </w14:textFill>
        </w:rPr>
        <w:t xml:space="preserve">目 </w:t>
      </w:r>
      <w:r>
        <w:rPr>
          <w:rFonts w:eastAsia="宋体"/>
          <w:b w:val="0"/>
          <w:bCs/>
          <w:color w:val="000000" w:themeColor="text1"/>
          <w:sz w:val="32"/>
          <w14:textFill>
            <w14:solidFill>
              <w14:schemeClr w14:val="tx1"/>
            </w14:solidFill>
          </w14:textFill>
        </w:rPr>
        <w:t xml:space="preserve">   </w:t>
      </w:r>
      <w:r>
        <w:rPr>
          <w:rFonts w:hint="eastAsia" w:eastAsia="宋体"/>
          <w:b w:val="0"/>
          <w:bCs/>
          <w:color w:val="000000" w:themeColor="text1"/>
          <w:sz w:val="32"/>
          <w14:textFill>
            <w14:solidFill>
              <w14:schemeClr w14:val="tx1"/>
            </w14:solidFill>
          </w14:textFill>
        </w:rPr>
        <w:t>次</w:t>
      </w:r>
      <w:bookmarkEnd w:id="23"/>
      <w:bookmarkEnd w:id="24"/>
      <w:bookmarkEnd w:id="25"/>
      <w:bookmarkEnd w:id="26"/>
    </w:p>
    <w:p w14:paraId="670B4821">
      <w:pPr>
        <w:pStyle w:val="20"/>
        <w:tabs>
          <w:tab w:val="right" w:leader="dot" w:pos="8306"/>
          <w:tab w:val="clear" w:pos="8296"/>
        </w:tabs>
      </w:pPr>
      <w:r>
        <w:fldChar w:fldCharType="begin"/>
      </w:r>
      <w:r>
        <w:instrText xml:space="preserve"> </w:instrText>
      </w:r>
      <w:r>
        <w:rPr>
          <w:rFonts w:hint="eastAsia"/>
        </w:rPr>
        <w:instrText xml:space="preserve">TOC \o "1-3" \h \z \u</w:instrText>
      </w:r>
      <w:r>
        <w:instrText xml:space="preserve"> </w:instrText>
      </w:r>
      <w:r>
        <w:fldChar w:fldCharType="separate"/>
      </w:r>
    </w:p>
    <w:p w14:paraId="0F263835">
      <w:pPr>
        <w:pStyle w:val="20"/>
        <w:tabs>
          <w:tab w:val="right" w:leader="dot" w:pos="8306"/>
          <w:tab w:val="clear" w:pos="8296"/>
        </w:tabs>
        <w:rPr>
          <w:rFonts w:hint="eastAsia" w:eastAsia="宋体"/>
          <w:lang w:val="en-US" w:eastAsia="zh-CN"/>
        </w:rPr>
      </w:pPr>
      <w:r>
        <w:rPr>
          <w:rFonts w:ascii="Times New Roman" w:hAnsi="Times New Roman" w:cs="Times New Roman"/>
          <w:szCs w:val="21"/>
        </w:rPr>
        <w:fldChar w:fldCharType="begin"/>
      </w:r>
      <w:r>
        <w:rPr>
          <w:rFonts w:ascii="Times New Roman" w:hAnsi="Times New Roman" w:cs="Times New Roman"/>
          <w:szCs w:val="21"/>
        </w:rPr>
        <w:instrText xml:space="preserve"> HYPERLINK \l _Toc5063 </w:instrText>
      </w:r>
      <w:r>
        <w:rPr>
          <w:rFonts w:ascii="Times New Roman" w:hAnsi="Times New Roman" w:cs="Times New Roman"/>
          <w:szCs w:val="21"/>
        </w:rPr>
        <w:fldChar w:fldCharType="separate"/>
      </w:r>
      <w:r>
        <w:rPr>
          <w:rFonts w:hint="default" w:ascii="Times New Roman" w:hAnsi="Times New Roman" w:eastAsia="宋体" w:cs="Times New Roman"/>
          <w:szCs w:val="30"/>
        </w:rPr>
        <w:t xml:space="preserve">1 </w:t>
      </w:r>
      <w:r>
        <w:t>总  则</w:t>
      </w:r>
      <w:r>
        <w:tab/>
      </w:r>
      <w:r>
        <w:rPr>
          <w:rFonts w:hint="eastAsia"/>
          <w:lang w:val="en-US" w:eastAsia="zh-CN"/>
        </w:rPr>
        <w:t>(</w:t>
      </w:r>
      <w:r>
        <w:fldChar w:fldCharType="begin"/>
      </w:r>
      <w:r>
        <w:instrText xml:space="preserve"> PAGEREF _Toc5063 \h </w:instrText>
      </w:r>
      <w:r>
        <w:fldChar w:fldCharType="separate"/>
      </w:r>
      <w:r>
        <w:t>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1A9B3ACD">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_Toc6358 </w:instrText>
      </w:r>
      <w:r>
        <w:rPr>
          <w:rFonts w:ascii="Times New Roman" w:hAnsi="Times New Roman" w:cs="Times New Roman"/>
          <w:szCs w:val="21"/>
        </w:rPr>
        <w:fldChar w:fldCharType="separate"/>
      </w:r>
      <w:r>
        <w:rPr>
          <w:rFonts w:hint="default" w:ascii="Times New Roman" w:hAnsi="Times New Roman" w:eastAsia="宋体" w:cs="Times New Roman"/>
          <w:szCs w:val="30"/>
        </w:rPr>
        <w:t xml:space="preserve">2 </w:t>
      </w:r>
      <w:r>
        <w:t>术  语</w:t>
      </w:r>
      <w:r>
        <w:tab/>
      </w:r>
      <w:r>
        <w:rPr>
          <w:rFonts w:hint="eastAsia"/>
          <w:lang w:val="en-US" w:eastAsia="zh-CN"/>
        </w:rPr>
        <w:t>(</w:t>
      </w:r>
      <w:r>
        <w:fldChar w:fldCharType="begin"/>
      </w:r>
      <w:r>
        <w:instrText xml:space="preserve"> PAGEREF _Toc6358 \h </w:instrText>
      </w:r>
      <w:r>
        <w:fldChar w:fldCharType="separate"/>
      </w:r>
      <w:r>
        <w:t>2</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6749C4E">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_Toc5285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3 </w:t>
      </w:r>
      <w:r>
        <w:t>基本规定</w:t>
      </w:r>
      <w:r>
        <w:tab/>
      </w:r>
      <w:r>
        <w:rPr>
          <w:rFonts w:hint="eastAsia"/>
          <w:lang w:val="en-US" w:eastAsia="zh-CN"/>
        </w:rPr>
        <w:t>(</w:t>
      </w:r>
      <w:r>
        <w:fldChar w:fldCharType="begin"/>
      </w:r>
      <w:r>
        <w:instrText xml:space="preserve"> PAGEREF _Toc5285 \h </w:instrText>
      </w:r>
      <w:r>
        <w:fldChar w:fldCharType="separate"/>
      </w:r>
      <w:r>
        <w:t>4</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09249A0">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_Toc30712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3.1 </w:t>
      </w:r>
      <w:r>
        <w:rPr>
          <w:rFonts w:hint="eastAsia"/>
          <w:lang w:val="en-US" w:eastAsia="zh-CN"/>
        </w:rPr>
        <w:t>一般规定</w:t>
      </w:r>
      <w:r>
        <w:tab/>
      </w:r>
      <w:r>
        <w:rPr>
          <w:rFonts w:hint="eastAsia"/>
          <w:lang w:val="en-US" w:eastAsia="zh-CN"/>
        </w:rPr>
        <w:t>(</w:t>
      </w:r>
      <w:r>
        <w:fldChar w:fldCharType="begin"/>
      </w:r>
      <w:r>
        <w:instrText xml:space="preserve"> PAGEREF _Toc30712 \h </w:instrText>
      </w:r>
      <w:r>
        <w:fldChar w:fldCharType="separate"/>
      </w:r>
      <w:r>
        <w:t>4</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B0D3852">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_Toc8874 </w:instrText>
      </w:r>
      <w:r>
        <w:rPr>
          <w:rFonts w:ascii="Times New Roman" w:hAnsi="Times New Roman" w:cs="Times New Roman"/>
          <w:szCs w:val="21"/>
        </w:rPr>
        <w:fldChar w:fldCharType="separate"/>
      </w:r>
      <w:r>
        <w:rPr>
          <w:rFonts w:hint="default" w:ascii="Times New Roman" w:hAnsi="Times New Roman" w:eastAsia="黑体" w:cs="Times New Roman"/>
          <w:szCs w:val="28"/>
        </w:rPr>
        <w:t xml:space="preserve">3.2 </w:t>
      </w:r>
      <w:r>
        <w:rPr>
          <w:rFonts w:hint="eastAsia"/>
        </w:rPr>
        <w:t>施工BIM</w:t>
      </w:r>
      <w:r>
        <w:rPr>
          <w:rFonts w:hint="eastAsia"/>
          <w:lang w:val="en-US" w:eastAsia="zh-CN"/>
        </w:rPr>
        <w:t>应用</w:t>
      </w:r>
      <w:r>
        <w:rPr>
          <w:rFonts w:hint="eastAsia"/>
        </w:rPr>
        <w:t>策划</w:t>
      </w:r>
      <w:r>
        <w:tab/>
      </w:r>
      <w:r>
        <w:rPr>
          <w:rFonts w:hint="eastAsia"/>
          <w:lang w:val="en-US" w:eastAsia="zh-CN"/>
        </w:rPr>
        <w:t>(</w:t>
      </w:r>
      <w:r>
        <w:fldChar w:fldCharType="begin"/>
      </w:r>
      <w:r>
        <w:instrText xml:space="preserve"> PAGEREF _Toc8874 \h </w:instrText>
      </w:r>
      <w:r>
        <w:fldChar w:fldCharType="separate"/>
      </w:r>
      <w:r>
        <w:t>4</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25EC6B1">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_Toc22978 </w:instrText>
      </w:r>
      <w:r>
        <w:rPr>
          <w:rFonts w:ascii="Times New Roman" w:hAnsi="Times New Roman" w:cs="Times New Roman"/>
          <w:szCs w:val="21"/>
        </w:rPr>
        <w:fldChar w:fldCharType="separate"/>
      </w:r>
      <w:r>
        <w:rPr>
          <w:rFonts w:hint="default" w:ascii="Times New Roman" w:hAnsi="Times New Roman" w:eastAsia="黑体" w:cs="Times New Roman"/>
          <w:szCs w:val="28"/>
        </w:rPr>
        <w:t xml:space="preserve">3.3 </w:t>
      </w:r>
      <w:r>
        <w:rPr>
          <w:rFonts w:hint="eastAsia"/>
        </w:rPr>
        <w:t>施工BIM</w:t>
      </w:r>
      <w:r>
        <w:rPr>
          <w:rFonts w:hint="eastAsia"/>
          <w:lang w:val="en-US" w:eastAsia="zh-CN"/>
        </w:rPr>
        <w:t>应用</w:t>
      </w:r>
      <w:r>
        <w:rPr>
          <w:rFonts w:hint="eastAsia"/>
        </w:rPr>
        <w:t>管理</w:t>
      </w:r>
      <w:r>
        <w:tab/>
      </w:r>
      <w:r>
        <w:rPr>
          <w:rFonts w:hint="eastAsia"/>
          <w:lang w:val="en-US" w:eastAsia="zh-CN"/>
        </w:rPr>
        <w:t>(</w:t>
      </w:r>
      <w:r>
        <w:fldChar w:fldCharType="begin"/>
      </w:r>
      <w:r>
        <w:instrText xml:space="preserve"> PAGEREF _Toc22978 \h </w:instrText>
      </w:r>
      <w:r>
        <w:fldChar w:fldCharType="separate"/>
      </w:r>
      <w:r>
        <w:t>6</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9005E82">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_Toc12130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4 </w:t>
      </w:r>
      <w:r>
        <w:rPr>
          <w:rFonts w:hint="eastAsia"/>
          <w:lang w:val="en-US" w:eastAsia="zh-CN"/>
        </w:rPr>
        <w:t>施工模型</w:t>
      </w:r>
      <w:r>
        <w:tab/>
      </w:r>
      <w:r>
        <w:rPr>
          <w:rFonts w:hint="eastAsia"/>
          <w:lang w:val="en-US" w:eastAsia="zh-CN"/>
        </w:rPr>
        <w:t>(</w:t>
      </w:r>
      <w:r>
        <w:fldChar w:fldCharType="begin"/>
      </w:r>
      <w:r>
        <w:instrText xml:space="preserve"> PAGEREF _Toc12130 \h </w:instrText>
      </w:r>
      <w:r>
        <w:fldChar w:fldCharType="separate"/>
      </w:r>
      <w:r>
        <w:t>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1CCC9DD7">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_Toc7290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4.1 </w:t>
      </w:r>
      <w:r>
        <w:rPr>
          <w:rFonts w:hint="eastAsia"/>
          <w:lang w:val="en-US" w:eastAsia="zh-CN"/>
        </w:rPr>
        <w:t>一般规定</w:t>
      </w:r>
      <w:r>
        <w:tab/>
      </w:r>
      <w:r>
        <w:rPr>
          <w:rFonts w:hint="eastAsia"/>
          <w:lang w:val="en-US" w:eastAsia="zh-CN"/>
        </w:rPr>
        <w:t>(</w:t>
      </w:r>
      <w:r>
        <w:fldChar w:fldCharType="begin"/>
      </w:r>
      <w:r>
        <w:instrText xml:space="preserve"> PAGEREF _Toc7290 \h </w:instrText>
      </w:r>
      <w:r>
        <w:fldChar w:fldCharType="separate"/>
      </w:r>
      <w:r>
        <w:t>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3C6DF2A">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_Toc12091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4.2 </w:t>
      </w:r>
      <w:r>
        <w:rPr>
          <w:rFonts w:hint="eastAsia"/>
          <w:lang w:val="en-US" w:eastAsia="zh-CN"/>
        </w:rPr>
        <w:t>模型创建</w:t>
      </w:r>
      <w:r>
        <w:tab/>
      </w:r>
      <w:r>
        <w:rPr>
          <w:rFonts w:hint="eastAsia"/>
          <w:lang w:val="en-US" w:eastAsia="zh-CN"/>
        </w:rPr>
        <w:t>(</w:t>
      </w:r>
      <w:r>
        <w:fldChar w:fldCharType="begin"/>
      </w:r>
      <w:r>
        <w:instrText xml:space="preserve"> PAGEREF _Toc12091 \h </w:instrText>
      </w:r>
      <w:r>
        <w:fldChar w:fldCharType="separate"/>
      </w:r>
      <w:r>
        <w:t>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7F5BD63">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_Toc15633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4.3 </w:t>
      </w:r>
      <w:r>
        <w:rPr>
          <w:rFonts w:hint="eastAsia"/>
          <w:lang w:val="en-US" w:eastAsia="zh-CN"/>
        </w:rPr>
        <w:t>模型精细度</w:t>
      </w:r>
      <w:r>
        <w:tab/>
      </w:r>
      <w:r>
        <w:rPr>
          <w:rFonts w:hint="eastAsia"/>
          <w:lang w:val="en-US" w:eastAsia="zh-CN"/>
        </w:rPr>
        <w:t>(</w:t>
      </w:r>
      <w:r>
        <w:fldChar w:fldCharType="begin"/>
      </w:r>
      <w:r>
        <w:instrText xml:space="preserve"> PAGEREF _Toc15633 \h </w:instrText>
      </w:r>
      <w:r>
        <w:fldChar w:fldCharType="separate"/>
      </w:r>
      <w:r>
        <w:t>8</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2078302">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_Toc1199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5 </w:t>
      </w:r>
      <w:r>
        <w:rPr>
          <w:rFonts w:hint="eastAsia"/>
          <w:lang w:val="en-US" w:eastAsia="zh-CN"/>
        </w:rPr>
        <w:t>深化设计</w:t>
      </w:r>
      <w:r>
        <w:tab/>
      </w:r>
      <w:r>
        <w:rPr>
          <w:rFonts w:hint="eastAsia"/>
          <w:lang w:val="en-US" w:eastAsia="zh-CN"/>
        </w:rPr>
        <w:t>(</w:t>
      </w:r>
      <w:r>
        <w:fldChar w:fldCharType="begin"/>
      </w:r>
      <w:r>
        <w:instrText xml:space="preserve"> PAGEREF _Toc1199 \h </w:instrText>
      </w:r>
      <w:r>
        <w:fldChar w:fldCharType="separate"/>
      </w:r>
      <w:r>
        <w:t>11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29C4EF36">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_Toc20513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5.1 </w:t>
      </w:r>
      <w:r>
        <w:rPr>
          <w:rFonts w:hint="eastAsia"/>
          <w:lang w:val="en-US" w:eastAsia="zh-CN"/>
        </w:rPr>
        <w:t>一般规定</w:t>
      </w:r>
      <w:r>
        <w:tab/>
      </w:r>
      <w:r>
        <w:rPr>
          <w:rFonts w:hint="eastAsia"/>
          <w:lang w:val="en-US" w:eastAsia="zh-CN"/>
        </w:rPr>
        <w:t>(</w:t>
      </w:r>
      <w:r>
        <w:fldChar w:fldCharType="begin"/>
      </w:r>
      <w:r>
        <w:instrText xml:space="preserve"> PAGEREF _Toc20513 \h </w:instrText>
      </w:r>
      <w:r>
        <w:fldChar w:fldCharType="separate"/>
      </w:r>
      <w:r>
        <w:t>11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BB3F1BE">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_Toc26075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5.2 </w:t>
      </w:r>
      <w:r>
        <w:rPr>
          <w:rFonts w:hint="eastAsia"/>
          <w:lang w:val="en-US" w:eastAsia="zh-CN"/>
        </w:rPr>
        <w:t>深化设计BIM应用原则</w:t>
      </w:r>
      <w:r>
        <w:tab/>
      </w:r>
      <w:r>
        <w:rPr>
          <w:rFonts w:hint="eastAsia"/>
          <w:lang w:val="en-US" w:eastAsia="zh-CN"/>
        </w:rPr>
        <w:t>(</w:t>
      </w:r>
      <w:r>
        <w:fldChar w:fldCharType="begin"/>
      </w:r>
      <w:r>
        <w:instrText xml:space="preserve"> PAGEREF _Toc26075 \h </w:instrText>
      </w:r>
      <w:r>
        <w:fldChar w:fldCharType="separate"/>
      </w:r>
      <w:r>
        <w:t>11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413AB6D">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_Toc24496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5.3 </w:t>
      </w:r>
      <w:r>
        <w:rPr>
          <w:rFonts w:hint="eastAsia"/>
          <w:lang w:val="en-US" w:eastAsia="zh-CN"/>
        </w:rPr>
        <w:t>深化设计BIM应用内容</w:t>
      </w:r>
      <w:r>
        <w:tab/>
      </w:r>
      <w:r>
        <w:rPr>
          <w:rFonts w:hint="eastAsia"/>
          <w:lang w:val="en-US" w:eastAsia="zh-CN"/>
        </w:rPr>
        <w:t>(</w:t>
      </w:r>
      <w:r>
        <w:fldChar w:fldCharType="begin"/>
      </w:r>
      <w:r>
        <w:instrText xml:space="preserve"> PAGEREF _Toc24496 \h </w:instrText>
      </w:r>
      <w:r>
        <w:fldChar w:fldCharType="separate"/>
      </w:r>
      <w:r>
        <w:t>11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29977DF">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_Toc6039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6 </w:t>
      </w:r>
      <w:r>
        <w:rPr>
          <w:rFonts w:hint="eastAsia"/>
          <w:lang w:val="en-US" w:eastAsia="zh-CN"/>
        </w:rPr>
        <w:t>技术准备</w:t>
      </w:r>
      <w:r>
        <w:tab/>
      </w:r>
      <w:r>
        <w:rPr>
          <w:rFonts w:hint="eastAsia"/>
          <w:lang w:val="en-US" w:eastAsia="zh-CN"/>
        </w:rPr>
        <w:t>(</w:t>
      </w:r>
      <w:r>
        <w:fldChar w:fldCharType="begin"/>
      </w:r>
      <w:r>
        <w:instrText xml:space="preserve"> PAGEREF _Toc6039 \h </w:instrText>
      </w:r>
      <w:r>
        <w:fldChar w:fldCharType="separate"/>
      </w:r>
      <w:r>
        <w:t>13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09905BF">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_Toc15452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6.1 </w:t>
      </w:r>
      <w:r>
        <w:rPr>
          <w:rFonts w:hint="eastAsia"/>
          <w:lang w:val="en-US" w:eastAsia="zh-CN"/>
        </w:rPr>
        <w:t>一般规定</w:t>
      </w:r>
      <w:r>
        <w:tab/>
      </w:r>
      <w:r>
        <w:rPr>
          <w:rFonts w:hint="eastAsia"/>
          <w:lang w:val="en-US" w:eastAsia="zh-CN"/>
        </w:rPr>
        <w:t>(</w:t>
      </w:r>
      <w:r>
        <w:fldChar w:fldCharType="begin"/>
      </w:r>
      <w:r>
        <w:instrText xml:space="preserve"> PAGEREF _Toc15452 \h </w:instrText>
      </w:r>
      <w:r>
        <w:fldChar w:fldCharType="separate"/>
      </w:r>
      <w:r>
        <w:t>13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9D15B87">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_Toc29328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6.2 </w:t>
      </w:r>
      <w:r>
        <w:rPr>
          <w:rFonts w:hint="default"/>
          <w:lang w:val="en-US" w:eastAsia="zh-CN"/>
        </w:rPr>
        <w:t>统计与输机</w:t>
      </w:r>
      <w:r>
        <w:tab/>
      </w:r>
      <w:r>
        <w:rPr>
          <w:rFonts w:hint="eastAsia"/>
          <w:lang w:val="en-US" w:eastAsia="zh-CN"/>
        </w:rPr>
        <w:t>(</w:t>
      </w:r>
      <w:r>
        <w:fldChar w:fldCharType="begin"/>
      </w:r>
      <w:r>
        <w:instrText xml:space="preserve"> PAGEREF _Toc29328 \h </w:instrText>
      </w:r>
      <w:r>
        <w:fldChar w:fldCharType="separate"/>
      </w:r>
      <w:r>
        <w:t>13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8A4C7F5">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_Toc1179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6.3 </w:t>
      </w:r>
      <w:r>
        <w:rPr>
          <w:rFonts w:hint="eastAsia"/>
          <w:lang w:val="en-US" w:eastAsia="zh-CN"/>
        </w:rPr>
        <w:t>碰撞检查</w:t>
      </w:r>
      <w:r>
        <w:tab/>
      </w:r>
      <w:r>
        <w:rPr>
          <w:rFonts w:hint="eastAsia"/>
          <w:lang w:val="en-US" w:eastAsia="zh-CN"/>
        </w:rPr>
        <w:t>(</w:t>
      </w:r>
      <w:r>
        <w:fldChar w:fldCharType="begin"/>
      </w:r>
      <w:r>
        <w:instrText xml:space="preserve"> PAGEREF _Toc1179 \h </w:instrText>
      </w:r>
      <w:r>
        <w:fldChar w:fldCharType="separate"/>
      </w:r>
      <w:r>
        <w:t>13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2E61391">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_Toc2549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6.4 </w:t>
      </w:r>
      <w:r>
        <w:rPr>
          <w:rFonts w:hint="eastAsia"/>
          <w:highlight w:val="none"/>
          <w:lang w:val="en-US" w:eastAsia="zh-CN"/>
        </w:rPr>
        <w:t>施工模拟</w:t>
      </w:r>
      <w:r>
        <w:tab/>
      </w:r>
      <w:r>
        <w:rPr>
          <w:rFonts w:hint="eastAsia"/>
          <w:lang w:val="en-US" w:eastAsia="zh-CN"/>
        </w:rPr>
        <w:t>(</w:t>
      </w:r>
      <w:r>
        <w:fldChar w:fldCharType="begin"/>
      </w:r>
      <w:r>
        <w:instrText xml:space="preserve"> PAGEREF _Toc2549 \h </w:instrText>
      </w:r>
      <w:r>
        <w:fldChar w:fldCharType="separate"/>
      </w:r>
      <w:r>
        <w:t>14</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325E178">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_Toc31531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6.5 </w:t>
      </w:r>
      <w:r>
        <w:rPr>
          <w:rFonts w:hint="eastAsia"/>
          <w:lang w:val="en-US" w:eastAsia="zh-CN"/>
        </w:rPr>
        <w:t>模块化设计</w:t>
      </w:r>
      <w:r>
        <w:tab/>
      </w:r>
      <w:r>
        <w:rPr>
          <w:rFonts w:hint="eastAsia"/>
          <w:lang w:val="en-US" w:eastAsia="zh-CN"/>
        </w:rPr>
        <w:t>(</w:t>
      </w:r>
      <w:r>
        <w:fldChar w:fldCharType="begin"/>
      </w:r>
      <w:r>
        <w:instrText xml:space="preserve"> PAGEREF _Toc31531 \h </w:instrText>
      </w:r>
      <w:r>
        <w:fldChar w:fldCharType="separate"/>
      </w:r>
      <w:r>
        <w:t>14</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61C894C">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_Toc18603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7 </w:t>
      </w:r>
      <w:r>
        <w:rPr>
          <w:rFonts w:hint="eastAsia"/>
          <w:lang w:val="en-US" w:eastAsia="zh-CN"/>
        </w:rPr>
        <w:t>预制加工</w:t>
      </w:r>
      <w:r>
        <w:tab/>
      </w:r>
      <w:r>
        <w:rPr>
          <w:rFonts w:hint="eastAsia"/>
          <w:lang w:val="en-US" w:eastAsia="zh-CN"/>
        </w:rPr>
        <w:t>(</w:t>
      </w:r>
      <w:r>
        <w:fldChar w:fldCharType="begin"/>
      </w:r>
      <w:r>
        <w:instrText xml:space="preserve"> PAGEREF _Toc18603 \h </w:instrText>
      </w:r>
      <w:r>
        <w:fldChar w:fldCharType="separate"/>
      </w:r>
      <w:r>
        <w:t>15</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D41A581">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_Toc19954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8 </w:t>
      </w:r>
      <w:r>
        <w:rPr>
          <w:rFonts w:hint="eastAsia"/>
          <w:lang w:val="en-US" w:eastAsia="zh-CN"/>
        </w:rPr>
        <w:t>施工实施</w:t>
      </w:r>
      <w:r>
        <w:tab/>
      </w:r>
      <w:r>
        <w:rPr>
          <w:rFonts w:hint="eastAsia"/>
          <w:lang w:val="en-US" w:eastAsia="zh-CN"/>
        </w:rPr>
        <w:t>(</w:t>
      </w:r>
      <w:r>
        <w:fldChar w:fldCharType="begin"/>
      </w:r>
      <w:r>
        <w:instrText xml:space="preserve"> PAGEREF _Toc19954 \h </w:instrText>
      </w:r>
      <w:r>
        <w:fldChar w:fldCharType="separate"/>
      </w:r>
      <w:r>
        <w:t>16</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2CB32CFD">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_Toc16694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8.1 </w:t>
      </w:r>
      <w:r>
        <w:rPr>
          <w:rFonts w:hint="eastAsia"/>
          <w:lang w:val="en-US" w:eastAsia="zh-CN"/>
        </w:rPr>
        <w:t>一般规定</w:t>
      </w:r>
      <w:r>
        <w:tab/>
      </w:r>
      <w:r>
        <w:rPr>
          <w:rFonts w:hint="eastAsia"/>
          <w:lang w:val="en-US" w:eastAsia="zh-CN"/>
        </w:rPr>
        <w:t>(</w:t>
      </w:r>
      <w:r>
        <w:fldChar w:fldCharType="begin"/>
      </w:r>
      <w:r>
        <w:instrText xml:space="preserve"> PAGEREF _Toc16694 \h </w:instrText>
      </w:r>
      <w:r>
        <w:fldChar w:fldCharType="separate"/>
      </w:r>
      <w:r>
        <w:t>16</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D0B94A6">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_Toc14548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8.2 </w:t>
      </w:r>
      <w:r>
        <w:rPr>
          <w:rFonts w:hint="eastAsia"/>
          <w:lang w:val="en-US" w:eastAsia="zh-CN"/>
        </w:rPr>
        <w:t>施工应用</w:t>
      </w:r>
      <w:r>
        <w:tab/>
      </w:r>
      <w:r>
        <w:rPr>
          <w:rFonts w:hint="eastAsia"/>
          <w:lang w:val="en-US" w:eastAsia="zh-CN"/>
        </w:rPr>
        <w:t>(</w:t>
      </w:r>
      <w:r>
        <w:fldChar w:fldCharType="begin"/>
      </w:r>
      <w:r>
        <w:instrText xml:space="preserve"> PAGEREF _Toc14548 \h </w:instrText>
      </w:r>
      <w:r>
        <w:fldChar w:fldCharType="separate"/>
      </w:r>
      <w:r>
        <w:t>16</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1D6917A6">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_Toc3497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8.3 </w:t>
      </w:r>
      <w:r>
        <w:rPr>
          <w:rFonts w:hint="eastAsia"/>
          <w:lang w:val="en-US" w:eastAsia="zh-CN"/>
        </w:rPr>
        <w:t>进度管理</w:t>
      </w:r>
      <w:r>
        <w:tab/>
      </w:r>
      <w:r>
        <w:rPr>
          <w:rFonts w:hint="eastAsia"/>
          <w:lang w:val="en-US" w:eastAsia="zh-CN"/>
        </w:rPr>
        <w:t>(</w:t>
      </w:r>
      <w:r>
        <w:fldChar w:fldCharType="begin"/>
      </w:r>
      <w:r>
        <w:instrText xml:space="preserve"> PAGEREF _Toc3497 \h </w:instrText>
      </w:r>
      <w:r>
        <w:fldChar w:fldCharType="separate"/>
      </w:r>
      <w:r>
        <w:t>16</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7C5181D">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_Toc3150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8.4 </w:t>
      </w:r>
      <w:r>
        <w:rPr>
          <w:rFonts w:hint="eastAsia"/>
          <w:lang w:val="en-US" w:eastAsia="zh-CN"/>
        </w:rPr>
        <w:t>质量管理</w:t>
      </w:r>
      <w:r>
        <w:tab/>
      </w:r>
      <w:r>
        <w:rPr>
          <w:rFonts w:hint="eastAsia"/>
          <w:lang w:val="en-US" w:eastAsia="zh-CN"/>
        </w:rPr>
        <w:t>(</w:t>
      </w:r>
      <w:r>
        <w:fldChar w:fldCharType="begin"/>
      </w:r>
      <w:r>
        <w:instrText xml:space="preserve"> PAGEREF _Toc3150 \h </w:instrText>
      </w:r>
      <w:r>
        <w:fldChar w:fldCharType="separate"/>
      </w:r>
      <w:r>
        <w:t>18</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77A4A1B">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_Toc18528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8.5 </w:t>
      </w:r>
      <w:r>
        <w:rPr>
          <w:rFonts w:hint="eastAsia"/>
          <w:lang w:val="en-US" w:eastAsia="zh-CN"/>
        </w:rPr>
        <w:t>安全管理</w:t>
      </w:r>
      <w:r>
        <w:tab/>
      </w:r>
      <w:r>
        <w:rPr>
          <w:rFonts w:hint="eastAsia"/>
          <w:lang w:val="en-US" w:eastAsia="zh-CN"/>
        </w:rPr>
        <w:t>(</w:t>
      </w:r>
      <w:r>
        <w:fldChar w:fldCharType="begin"/>
      </w:r>
      <w:r>
        <w:instrText xml:space="preserve"> PAGEREF _Toc18528 \h </w:instrText>
      </w:r>
      <w:r>
        <w:fldChar w:fldCharType="separate"/>
      </w:r>
      <w:r>
        <w:t>18</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636DA90">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_Toc7640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9 </w:t>
      </w:r>
      <w:r>
        <w:rPr>
          <w:rFonts w:hint="eastAsia"/>
          <w:lang w:val="en-US" w:eastAsia="zh-CN"/>
        </w:rPr>
        <w:t>竣工交付</w:t>
      </w:r>
      <w:r>
        <w:tab/>
      </w:r>
      <w:r>
        <w:rPr>
          <w:rFonts w:hint="eastAsia"/>
          <w:lang w:val="en-US" w:eastAsia="zh-CN"/>
        </w:rPr>
        <w:t>(</w:t>
      </w:r>
      <w:r>
        <w:fldChar w:fldCharType="begin"/>
      </w:r>
      <w:r>
        <w:instrText xml:space="preserve"> PAGEREF _Toc7640 \h </w:instrText>
      </w:r>
      <w:r>
        <w:fldChar w:fldCharType="separate"/>
      </w:r>
      <w:r>
        <w:t>20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D1CE284">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_Toc11096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9.1 </w:t>
      </w:r>
      <w:r>
        <w:rPr>
          <w:rFonts w:hint="eastAsia"/>
          <w:lang w:val="en-US" w:eastAsia="zh-CN"/>
        </w:rPr>
        <w:t>一般规定</w:t>
      </w:r>
      <w:r>
        <w:tab/>
      </w:r>
      <w:r>
        <w:rPr>
          <w:rFonts w:hint="eastAsia"/>
          <w:lang w:val="en-US" w:eastAsia="zh-CN"/>
        </w:rPr>
        <w:t>(</w:t>
      </w:r>
      <w:r>
        <w:fldChar w:fldCharType="begin"/>
      </w:r>
      <w:r>
        <w:instrText xml:space="preserve"> PAGEREF _Toc11096 \h </w:instrText>
      </w:r>
      <w:r>
        <w:fldChar w:fldCharType="separate"/>
      </w:r>
      <w:r>
        <w:t>20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7745FA0">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_Toc6229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9.2 </w:t>
      </w:r>
      <w:r>
        <w:rPr>
          <w:rFonts w:hint="eastAsia"/>
          <w:lang w:val="en-US" w:eastAsia="zh-CN"/>
        </w:rPr>
        <w:t>竣工交付模型</w:t>
      </w:r>
      <w:r>
        <w:tab/>
      </w:r>
      <w:r>
        <w:rPr>
          <w:rFonts w:hint="eastAsia"/>
          <w:lang w:val="en-US" w:eastAsia="zh-CN"/>
        </w:rPr>
        <w:t>(</w:t>
      </w:r>
      <w:r>
        <w:fldChar w:fldCharType="begin"/>
      </w:r>
      <w:r>
        <w:instrText xml:space="preserve"> PAGEREF _Toc6229 \h </w:instrText>
      </w:r>
      <w:r>
        <w:fldChar w:fldCharType="separate"/>
      </w:r>
      <w:r>
        <w:t>20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F82F178">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_Toc4947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9.3 </w:t>
      </w:r>
      <w:r>
        <w:rPr>
          <w:rFonts w:hint="eastAsia"/>
          <w:lang w:val="en-US" w:eastAsia="zh-CN"/>
        </w:rPr>
        <w:t>竣工交付文档</w:t>
      </w:r>
      <w:r>
        <w:tab/>
      </w:r>
      <w:r>
        <w:rPr>
          <w:rFonts w:hint="eastAsia"/>
          <w:lang w:val="en-US" w:eastAsia="zh-CN"/>
        </w:rPr>
        <w:t>(</w:t>
      </w:r>
      <w:r>
        <w:fldChar w:fldCharType="begin"/>
      </w:r>
      <w:r>
        <w:instrText xml:space="preserve"> PAGEREF _Toc4947 \h </w:instrText>
      </w:r>
      <w:r>
        <w:fldChar w:fldCharType="separate"/>
      </w:r>
      <w:r>
        <w:t>20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25415CC5">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_Toc5413 </w:instrText>
      </w:r>
      <w:r>
        <w:rPr>
          <w:rFonts w:ascii="Times New Roman" w:hAnsi="Times New Roman" w:cs="Times New Roman"/>
          <w:szCs w:val="21"/>
        </w:rPr>
        <w:fldChar w:fldCharType="separate"/>
      </w:r>
      <w:r>
        <w:rPr>
          <w:rFonts w:hint="eastAsia"/>
          <w:lang w:val="en-US" w:eastAsia="zh-CN"/>
        </w:rPr>
        <w:t>附录A  模型单元几何表达精度</w:t>
      </w:r>
      <w:r>
        <w:tab/>
      </w:r>
      <w:r>
        <w:rPr>
          <w:rFonts w:hint="eastAsia"/>
          <w:lang w:val="en-US" w:eastAsia="zh-CN"/>
        </w:rPr>
        <w:t>(</w:t>
      </w:r>
      <w:r>
        <w:fldChar w:fldCharType="begin"/>
      </w:r>
      <w:r>
        <w:instrText xml:space="preserve"> PAGEREF _Toc5413 \h </w:instrText>
      </w:r>
      <w:r>
        <w:fldChar w:fldCharType="separate"/>
      </w:r>
      <w:r>
        <w:t>21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04C96A9">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_Toc19771 </w:instrText>
      </w:r>
      <w:r>
        <w:rPr>
          <w:rFonts w:ascii="Times New Roman" w:hAnsi="Times New Roman" w:cs="Times New Roman"/>
          <w:szCs w:val="21"/>
        </w:rPr>
        <w:fldChar w:fldCharType="separate"/>
      </w:r>
      <w:r>
        <w:rPr>
          <w:rFonts w:hint="eastAsia"/>
          <w:lang w:val="en-US" w:eastAsia="zh-CN"/>
        </w:rPr>
        <w:t>附录B  模型单元信息深度</w:t>
      </w:r>
      <w:r>
        <w:tab/>
      </w:r>
      <w:r>
        <w:rPr>
          <w:rFonts w:hint="eastAsia"/>
          <w:lang w:val="en-US" w:eastAsia="zh-CN"/>
        </w:rPr>
        <w:t>(</w:t>
      </w:r>
      <w:r>
        <w:fldChar w:fldCharType="begin"/>
      </w:r>
      <w:r>
        <w:instrText xml:space="preserve"> PAGEREF _Toc19771 \h </w:instrText>
      </w:r>
      <w:r>
        <w:fldChar w:fldCharType="separate"/>
      </w:r>
      <w:r>
        <w:t>28</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51FBA77">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_Toc27276 </w:instrText>
      </w:r>
      <w:r>
        <w:rPr>
          <w:rFonts w:ascii="Times New Roman" w:hAnsi="Times New Roman" w:cs="Times New Roman"/>
          <w:szCs w:val="21"/>
        </w:rPr>
        <w:fldChar w:fldCharType="separate"/>
      </w:r>
      <w:r>
        <w:rPr>
          <w:rFonts w:hint="eastAsia"/>
          <w:lang w:val="en-US" w:eastAsia="zh-CN"/>
        </w:rPr>
        <w:t>附录C  深化设计模型和施工过程模型的精细度</w:t>
      </w:r>
      <w:r>
        <w:tab/>
      </w:r>
      <w:r>
        <w:rPr>
          <w:rFonts w:hint="eastAsia"/>
          <w:lang w:val="en-US" w:eastAsia="zh-CN"/>
        </w:rPr>
        <w:t>(</w:t>
      </w:r>
      <w:r>
        <w:fldChar w:fldCharType="begin"/>
      </w:r>
      <w:r>
        <w:instrText xml:space="preserve"> PAGEREF _Toc27276 \h </w:instrText>
      </w:r>
      <w:r>
        <w:fldChar w:fldCharType="separate"/>
      </w:r>
      <w:r>
        <w:t>29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40331B4">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_Toc17037 </w:instrText>
      </w:r>
      <w:r>
        <w:rPr>
          <w:rFonts w:ascii="Times New Roman" w:hAnsi="Times New Roman" w:cs="Times New Roman"/>
          <w:szCs w:val="21"/>
        </w:rPr>
        <w:fldChar w:fldCharType="separate"/>
      </w:r>
      <w:r>
        <w:rPr>
          <w:rFonts w:hint="eastAsia"/>
        </w:rPr>
        <w:t>用词说明</w:t>
      </w:r>
      <w:r>
        <w:tab/>
      </w:r>
      <w:r>
        <w:rPr>
          <w:rFonts w:hint="eastAsia"/>
          <w:lang w:val="en-US" w:eastAsia="zh-CN"/>
        </w:rPr>
        <w:t>(</w:t>
      </w:r>
      <w:r>
        <w:fldChar w:fldCharType="begin"/>
      </w:r>
      <w:r>
        <w:instrText xml:space="preserve"> PAGEREF _Toc17037 \h </w:instrText>
      </w:r>
      <w:r>
        <w:fldChar w:fldCharType="separate"/>
      </w:r>
      <w:r>
        <w:t>31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20B19D8">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_Toc19758 </w:instrText>
      </w:r>
      <w:r>
        <w:rPr>
          <w:rFonts w:ascii="Times New Roman" w:hAnsi="Times New Roman" w:cs="Times New Roman"/>
          <w:szCs w:val="21"/>
        </w:rPr>
        <w:fldChar w:fldCharType="separate"/>
      </w:r>
      <w:r>
        <w:rPr>
          <w:rFonts w:hint="eastAsia"/>
        </w:rPr>
        <w:t>引用标准名录</w:t>
      </w:r>
      <w:r>
        <w:tab/>
      </w:r>
      <w:r>
        <w:rPr>
          <w:rFonts w:hint="eastAsia"/>
          <w:lang w:val="en-US" w:eastAsia="zh-CN"/>
        </w:rPr>
        <w:t>(</w:t>
      </w:r>
      <w:r>
        <w:fldChar w:fldCharType="begin"/>
      </w:r>
      <w:r>
        <w:instrText xml:space="preserve"> PAGEREF _Toc19758 \h </w:instrText>
      </w:r>
      <w:r>
        <w:fldChar w:fldCharType="separate"/>
      </w:r>
      <w:r>
        <w:t>32</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99CECF8">
      <w:pPr>
        <w:pStyle w:val="20"/>
        <w:tabs>
          <w:tab w:val="right" w:leader="dot" w:pos="8306"/>
          <w:tab w:val="clear" w:pos="8296"/>
        </w:tabs>
      </w:pPr>
      <w:r>
        <w:rPr>
          <w:rFonts w:hint="eastAsia" w:cs="Times New Roman"/>
          <w:szCs w:val="21"/>
          <w:lang w:val="en-US" w:eastAsia="zh-CN"/>
        </w:rPr>
        <w:t>附：</w:t>
      </w:r>
      <w:r>
        <w:rPr>
          <w:rFonts w:ascii="Times New Roman" w:hAnsi="Times New Roman" w:cs="Times New Roman"/>
          <w:szCs w:val="21"/>
        </w:rPr>
        <w:fldChar w:fldCharType="begin"/>
      </w:r>
      <w:r>
        <w:rPr>
          <w:rFonts w:ascii="Times New Roman" w:hAnsi="Times New Roman" w:cs="Times New Roman"/>
          <w:szCs w:val="21"/>
        </w:rPr>
        <w:instrText xml:space="preserve"> HYPERLINK \l _Toc25965 </w:instrText>
      </w:r>
      <w:r>
        <w:rPr>
          <w:rFonts w:ascii="Times New Roman" w:hAnsi="Times New Roman" w:cs="Times New Roman"/>
          <w:szCs w:val="21"/>
        </w:rPr>
        <w:fldChar w:fldCharType="separate"/>
      </w:r>
      <w:r>
        <w:rPr>
          <w:rFonts w:hint="eastAsia"/>
        </w:rPr>
        <w:t>条文说明</w:t>
      </w:r>
      <w:r>
        <w:tab/>
      </w:r>
      <w:r>
        <w:rPr>
          <w:rFonts w:hint="eastAsia"/>
          <w:lang w:val="en-US" w:eastAsia="zh-CN"/>
        </w:rPr>
        <w:t>(</w:t>
      </w:r>
      <w:r>
        <w:fldChar w:fldCharType="begin"/>
      </w:r>
      <w:r>
        <w:instrText xml:space="preserve"> PAGEREF _Toc25965 \h </w:instrText>
      </w:r>
      <w:r>
        <w:fldChar w:fldCharType="separate"/>
      </w:r>
      <w:r>
        <w:t>33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BE7A3FB">
      <w:pPr>
        <w:pStyle w:val="20"/>
        <w:tabs>
          <w:tab w:val="right" w:leader="dot" w:pos="8306"/>
          <w:tab w:val="clear" w:pos="8296"/>
        </w:tabs>
      </w:pPr>
    </w:p>
    <w:p w14:paraId="53B90C3B">
      <w:pPr>
        <w:widowControl/>
        <w:jc w:val="left"/>
        <w:rPr>
          <w:rFonts w:ascii="Times New Roman" w:hAnsi="Times New Roman" w:cs="Times New Roman"/>
        </w:rPr>
      </w:pPr>
      <w:r>
        <w:rPr>
          <w:rFonts w:ascii="Times New Roman" w:hAnsi="Times New Roman" w:cs="Times New Roman"/>
          <w:szCs w:val="21"/>
        </w:rPr>
        <w:fldChar w:fldCharType="end"/>
      </w:r>
      <w:r>
        <w:rPr>
          <w:rFonts w:ascii="Times New Roman" w:hAnsi="Times New Roman" w:cs="Times New Roman"/>
        </w:rPr>
        <w:br w:type="page"/>
      </w:r>
    </w:p>
    <w:p w14:paraId="08F08C99">
      <w:pPr>
        <w:pStyle w:val="20"/>
        <w:spacing w:line="430" w:lineRule="exact"/>
        <w:outlineLvl w:val="0"/>
        <w:rPr>
          <w:b/>
          <w:bCs/>
          <w:sz w:val="32"/>
          <w:szCs w:val="32"/>
        </w:rPr>
      </w:pPr>
      <w:bookmarkStart w:id="27" w:name="_Toc2255"/>
      <w:bookmarkStart w:id="28" w:name="_Toc25934"/>
      <w:bookmarkStart w:id="29" w:name="_Toc810"/>
      <w:bookmarkStart w:id="30" w:name="_Toc31821"/>
      <w:r>
        <w:rPr>
          <w:b/>
          <w:bCs/>
          <w:sz w:val="32"/>
          <w:szCs w:val="32"/>
        </w:rPr>
        <w:t>Contents</w:t>
      </w:r>
      <w:bookmarkEnd w:id="27"/>
      <w:bookmarkEnd w:id="28"/>
      <w:bookmarkEnd w:id="29"/>
      <w:bookmarkEnd w:id="30"/>
    </w:p>
    <w:p w14:paraId="2E163D75">
      <w:pPr>
        <w:pStyle w:val="20"/>
        <w:tabs>
          <w:tab w:val="right" w:leader="dot" w:pos="8306"/>
          <w:tab w:val="clear" w:pos="8296"/>
        </w:tabs>
      </w:pPr>
      <w:r>
        <w:fldChar w:fldCharType="begin"/>
      </w:r>
      <w:r>
        <w:instrText xml:space="preserve">TOC \o "1-3" \h \u </w:instrText>
      </w:r>
      <w:r>
        <w:fldChar w:fldCharType="separate"/>
      </w:r>
    </w:p>
    <w:p w14:paraId="375E42F8">
      <w:pPr>
        <w:pStyle w:val="20"/>
        <w:tabs>
          <w:tab w:val="right" w:leader="dot" w:pos="8306"/>
          <w:tab w:val="clear" w:pos="8296"/>
        </w:tabs>
      </w:pPr>
      <w:r>
        <w:fldChar w:fldCharType="begin"/>
      </w:r>
      <w:r>
        <w:instrText xml:space="preserve"> HYPERLINK \l _Toc13696 </w:instrText>
      </w:r>
      <w:r>
        <w:fldChar w:fldCharType="separate"/>
      </w:r>
      <w:r>
        <w:rPr>
          <w:rFonts w:hint="default" w:ascii="Times New Roman" w:hAnsi="Times New Roman" w:eastAsia="宋体" w:cs="Times New Roman"/>
          <w:szCs w:val="30"/>
        </w:rPr>
        <w:t xml:space="preserve">1 </w:t>
      </w:r>
      <w:r>
        <w:rPr>
          <w:rFonts w:hint="eastAsia"/>
          <w:lang w:val="en-US" w:eastAsia="zh-CN"/>
        </w:rPr>
        <w:t>General provisions</w:t>
      </w:r>
      <w:r>
        <w:tab/>
      </w:r>
      <w:r>
        <w:rPr>
          <w:rFonts w:hint="eastAsia"/>
          <w:lang w:val="en-US" w:eastAsia="zh-CN"/>
        </w:rPr>
        <w:t>(</w:t>
      </w:r>
      <w:r>
        <w:fldChar w:fldCharType="begin"/>
      </w:r>
      <w:r>
        <w:instrText xml:space="preserve"> PAGEREF _Toc13696 \h </w:instrText>
      </w:r>
      <w:r>
        <w:fldChar w:fldCharType="separate"/>
      </w:r>
      <w:r>
        <w:t>1</w:t>
      </w:r>
      <w:r>
        <w:fldChar w:fldCharType="end"/>
      </w:r>
      <w:r>
        <w:fldChar w:fldCharType="end"/>
      </w:r>
      <w:r>
        <w:rPr>
          <w:rFonts w:hint="eastAsia" w:cs="Times New Roman"/>
          <w:szCs w:val="21"/>
          <w:lang w:val="en-US" w:eastAsia="zh-CN"/>
        </w:rPr>
        <w:t>)</w:t>
      </w:r>
    </w:p>
    <w:p w14:paraId="300F41D2">
      <w:pPr>
        <w:pStyle w:val="20"/>
        <w:tabs>
          <w:tab w:val="right" w:leader="dot" w:pos="8306"/>
          <w:tab w:val="clear" w:pos="8296"/>
        </w:tabs>
      </w:pPr>
      <w:r>
        <w:fldChar w:fldCharType="begin"/>
      </w:r>
      <w:r>
        <w:instrText xml:space="preserve"> HYPERLINK \l _Toc32718 </w:instrText>
      </w:r>
      <w:r>
        <w:fldChar w:fldCharType="separate"/>
      </w:r>
      <w:r>
        <w:rPr>
          <w:rFonts w:hint="default" w:ascii="Times New Roman" w:hAnsi="Times New Roman" w:eastAsia="宋体" w:cs="Times New Roman"/>
          <w:szCs w:val="30"/>
        </w:rPr>
        <w:t xml:space="preserve">2 </w:t>
      </w:r>
      <w:r>
        <w:rPr>
          <w:rFonts w:hint="eastAsia"/>
          <w:lang w:val="en-US" w:eastAsia="zh-CN"/>
        </w:rPr>
        <w:t>Terms</w:t>
      </w:r>
      <w:r>
        <w:tab/>
      </w:r>
      <w:r>
        <w:rPr>
          <w:rFonts w:hint="eastAsia"/>
          <w:lang w:val="en-US" w:eastAsia="zh-CN"/>
        </w:rPr>
        <w:t>(</w:t>
      </w:r>
      <w:r>
        <w:fldChar w:fldCharType="begin"/>
      </w:r>
      <w:r>
        <w:instrText xml:space="preserve"> PAGEREF _Toc32718 \h </w:instrText>
      </w:r>
      <w:r>
        <w:fldChar w:fldCharType="separate"/>
      </w:r>
      <w:r>
        <w:t>2</w:t>
      </w:r>
      <w:r>
        <w:fldChar w:fldCharType="end"/>
      </w:r>
      <w:r>
        <w:fldChar w:fldCharType="end"/>
      </w:r>
      <w:r>
        <w:rPr>
          <w:rFonts w:hint="eastAsia" w:cs="Times New Roman"/>
          <w:szCs w:val="21"/>
          <w:lang w:val="en-US" w:eastAsia="zh-CN"/>
        </w:rPr>
        <w:t>)</w:t>
      </w:r>
    </w:p>
    <w:p w14:paraId="50D58EB1">
      <w:pPr>
        <w:pStyle w:val="20"/>
        <w:tabs>
          <w:tab w:val="right" w:leader="dot" w:pos="8306"/>
          <w:tab w:val="clear" w:pos="8296"/>
        </w:tabs>
      </w:pPr>
      <w:r>
        <w:fldChar w:fldCharType="begin"/>
      </w:r>
      <w:r>
        <w:instrText xml:space="preserve"> HYPERLINK \l _Toc5553 </w:instrText>
      </w:r>
      <w:r>
        <w:fldChar w:fldCharType="separate"/>
      </w:r>
      <w:r>
        <w:rPr>
          <w:rFonts w:hint="default" w:ascii="Times New Roman" w:hAnsi="Times New Roman" w:eastAsia="宋体" w:cs="Times New Roman"/>
          <w:szCs w:val="30"/>
          <w:lang w:val="en-US" w:eastAsia="zh-CN"/>
        </w:rPr>
        <w:t xml:space="preserve">3 </w:t>
      </w:r>
      <w:r>
        <w:rPr>
          <w:rFonts w:hint="eastAsia"/>
          <w:lang w:val="en-US" w:eastAsia="zh-CN"/>
        </w:rPr>
        <w:t>Basic requirements</w:t>
      </w:r>
      <w:r>
        <w:tab/>
      </w:r>
      <w:r>
        <w:rPr>
          <w:rFonts w:hint="eastAsia"/>
          <w:lang w:val="en-US" w:eastAsia="zh-CN"/>
        </w:rPr>
        <w:t>(</w:t>
      </w:r>
      <w:r>
        <w:fldChar w:fldCharType="begin"/>
      </w:r>
      <w:r>
        <w:instrText xml:space="preserve"> PAGEREF _Toc5553 \h </w:instrText>
      </w:r>
      <w:r>
        <w:fldChar w:fldCharType="separate"/>
      </w:r>
      <w:r>
        <w:t>4</w:t>
      </w:r>
      <w:r>
        <w:fldChar w:fldCharType="end"/>
      </w:r>
      <w:r>
        <w:fldChar w:fldCharType="end"/>
      </w:r>
      <w:r>
        <w:rPr>
          <w:rFonts w:hint="eastAsia" w:cs="Times New Roman"/>
          <w:szCs w:val="21"/>
          <w:lang w:val="en-US" w:eastAsia="zh-CN"/>
        </w:rPr>
        <w:t>)</w:t>
      </w:r>
    </w:p>
    <w:p w14:paraId="62C95710">
      <w:pPr>
        <w:pStyle w:val="23"/>
        <w:tabs>
          <w:tab w:val="right" w:leader="dot" w:pos="8306"/>
        </w:tabs>
      </w:pPr>
      <w:r>
        <w:fldChar w:fldCharType="begin"/>
      </w:r>
      <w:r>
        <w:instrText xml:space="preserve"> HYPERLINK \l _Toc976 </w:instrText>
      </w:r>
      <w:r>
        <w:fldChar w:fldCharType="separate"/>
      </w:r>
      <w:r>
        <w:rPr>
          <w:rFonts w:hint="default" w:ascii="Times New Roman" w:hAnsi="Times New Roman" w:eastAsia="黑体" w:cs="Times New Roman"/>
          <w:szCs w:val="28"/>
          <w:lang w:val="en-US" w:eastAsia="zh-CN"/>
        </w:rPr>
        <w:t xml:space="preserve">3.1 </w:t>
      </w:r>
      <w:r>
        <w:rPr>
          <w:rFonts w:hint="eastAsia"/>
          <w:lang w:val="en-US" w:eastAsia="zh-CN"/>
        </w:rPr>
        <w:t>General requirements</w:t>
      </w:r>
      <w:r>
        <w:tab/>
      </w:r>
      <w:r>
        <w:rPr>
          <w:rFonts w:hint="eastAsia"/>
          <w:lang w:val="en-US" w:eastAsia="zh-CN"/>
        </w:rPr>
        <w:t>(</w:t>
      </w:r>
      <w:r>
        <w:fldChar w:fldCharType="begin"/>
      </w:r>
      <w:r>
        <w:instrText xml:space="preserve"> PAGEREF _Toc976 \h </w:instrText>
      </w:r>
      <w:r>
        <w:fldChar w:fldCharType="separate"/>
      </w:r>
      <w:r>
        <w:t>4</w:t>
      </w:r>
      <w:r>
        <w:fldChar w:fldCharType="end"/>
      </w:r>
      <w:r>
        <w:fldChar w:fldCharType="end"/>
      </w:r>
      <w:r>
        <w:rPr>
          <w:rFonts w:hint="eastAsia" w:cs="Times New Roman"/>
          <w:szCs w:val="21"/>
          <w:lang w:val="en-US" w:eastAsia="zh-CN"/>
        </w:rPr>
        <w:t>)</w:t>
      </w:r>
    </w:p>
    <w:p w14:paraId="1FEB768B">
      <w:pPr>
        <w:pStyle w:val="23"/>
        <w:tabs>
          <w:tab w:val="right" w:leader="dot" w:pos="8306"/>
        </w:tabs>
      </w:pPr>
      <w:r>
        <w:fldChar w:fldCharType="begin"/>
      </w:r>
      <w:r>
        <w:instrText xml:space="preserve"> HYPERLINK \l _Toc16272 </w:instrText>
      </w:r>
      <w:r>
        <w:fldChar w:fldCharType="separate"/>
      </w:r>
      <w:r>
        <w:rPr>
          <w:rFonts w:hint="default" w:ascii="Times New Roman" w:hAnsi="Times New Roman" w:eastAsia="黑体" w:cs="Times New Roman"/>
          <w:szCs w:val="28"/>
        </w:rPr>
        <w:t xml:space="preserve">3.2 </w:t>
      </w:r>
      <w:r>
        <w:rPr>
          <w:rFonts w:hint="eastAsia"/>
          <w:lang w:val="en-US" w:eastAsia="zh-CN"/>
        </w:rPr>
        <w:t>Construction BIM execution plan</w:t>
      </w:r>
      <w:r>
        <w:tab/>
      </w:r>
      <w:r>
        <w:rPr>
          <w:rFonts w:hint="eastAsia"/>
          <w:lang w:val="en-US" w:eastAsia="zh-CN"/>
        </w:rPr>
        <w:t>(</w:t>
      </w:r>
      <w:r>
        <w:fldChar w:fldCharType="begin"/>
      </w:r>
      <w:r>
        <w:instrText xml:space="preserve"> PAGEREF _Toc16272 \h </w:instrText>
      </w:r>
      <w:r>
        <w:fldChar w:fldCharType="separate"/>
      </w:r>
      <w:r>
        <w:t>4</w:t>
      </w:r>
      <w:r>
        <w:fldChar w:fldCharType="end"/>
      </w:r>
      <w:r>
        <w:fldChar w:fldCharType="end"/>
      </w:r>
      <w:r>
        <w:rPr>
          <w:rFonts w:hint="eastAsia" w:cs="Times New Roman"/>
          <w:szCs w:val="21"/>
          <w:lang w:val="en-US" w:eastAsia="zh-CN"/>
        </w:rPr>
        <w:t>)</w:t>
      </w:r>
    </w:p>
    <w:p w14:paraId="454F97DA">
      <w:pPr>
        <w:pStyle w:val="23"/>
        <w:tabs>
          <w:tab w:val="right" w:leader="dot" w:pos="8306"/>
        </w:tabs>
      </w:pPr>
      <w:r>
        <w:fldChar w:fldCharType="begin"/>
      </w:r>
      <w:r>
        <w:instrText xml:space="preserve"> HYPERLINK \l _Toc31147 </w:instrText>
      </w:r>
      <w:r>
        <w:fldChar w:fldCharType="separate"/>
      </w:r>
      <w:r>
        <w:rPr>
          <w:rFonts w:hint="default" w:ascii="Times New Roman" w:hAnsi="Times New Roman" w:eastAsia="黑体" w:cs="Times New Roman"/>
          <w:szCs w:val="28"/>
        </w:rPr>
        <w:t xml:space="preserve">3.3 </w:t>
      </w:r>
      <w:r>
        <w:rPr>
          <w:rFonts w:hint="eastAsia"/>
          <w:lang w:val="en-US" w:eastAsia="zh-CN"/>
        </w:rPr>
        <w:t>Construction BIM execution management</w:t>
      </w:r>
      <w:r>
        <w:tab/>
      </w:r>
      <w:r>
        <w:rPr>
          <w:rFonts w:hint="eastAsia"/>
          <w:lang w:val="en-US" w:eastAsia="zh-CN"/>
        </w:rPr>
        <w:t>(</w:t>
      </w:r>
      <w:r>
        <w:fldChar w:fldCharType="begin"/>
      </w:r>
      <w:r>
        <w:instrText xml:space="preserve"> PAGEREF _Toc31147 \h </w:instrText>
      </w:r>
      <w:r>
        <w:fldChar w:fldCharType="separate"/>
      </w:r>
      <w:r>
        <w:t>6</w:t>
      </w:r>
      <w:r>
        <w:fldChar w:fldCharType="end"/>
      </w:r>
      <w:r>
        <w:fldChar w:fldCharType="end"/>
      </w:r>
      <w:r>
        <w:rPr>
          <w:rFonts w:hint="eastAsia" w:cs="Times New Roman"/>
          <w:szCs w:val="21"/>
          <w:lang w:val="en-US" w:eastAsia="zh-CN"/>
        </w:rPr>
        <w:t>)</w:t>
      </w:r>
    </w:p>
    <w:p w14:paraId="015F4BF1">
      <w:pPr>
        <w:pStyle w:val="20"/>
        <w:tabs>
          <w:tab w:val="right" w:leader="dot" w:pos="8306"/>
          <w:tab w:val="clear" w:pos="8296"/>
        </w:tabs>
      </w:pPr>
      <w:r>
        <w:fldChar w:fldCharType="begin"/>
      </w:r>
      <w:r>
        <w:instrText xml:space="preserve"> HYPERLINK \l _Toc17464 </w:instrText>
      </w:r>
      <w:r>
        <w:fldChar w:fldCharType="separate"/>
      </w:r>
      <w:r>
        <w:rPr>
          <w:rFonts w:hint="default" w:ascii="Times New Roman" w:hAnsi="Times New Roman" w:eastAsia="宋体" w:cs="Times New Roman"/>
          <w:szCs w:val="30"/>
          <w:lang w:val="en-US" w:eastAsia="zh-CN"/>
        </w:rPr>
        <w:t xml:space="preserve">4 </w:t>
      </w:r>
      <w:r>
        <w:rPr>
          <w:rFonts w:hint="eastAsia"/>
          <w:lang w:val="en-US" w:eastAsia="zh-CN"/>
        </w:rPr>
        <w:t>Construction BIM model</w:t>
      </w:r>
      <w:r>
        <w:tab/>
      </w:r>
      <w:r>
        <w:rPr>
          <w:rFonts w:hint="eastAsia"/>
          <w:lang w:val="en-US" w:eastAsia="zh-CN"/>
        </w:rPr>
        <w:t>(</w:t>
      </w:r>
      <w:r>
        <w:fldChar w:fldCharType="begin"/>
      </w:r>
      <w:r>
        <w:instrText xml:space="preserve"> PAGEREF _Toc17464 \h </w:instrText>
      </w:r>
      <w:r>
        <w:fldChar w:fldCharType="separate"/>
      </w:r>
      <w:r>
        <w:t>7</w:t>
      </w:r>
      <w:r>
        <w:fldChar w:fldCharType="end"/>
      </w:r>
      <w:r>
        <w:fldChar w:fldCharType="end"/>
      </w:r>
      <w:r>
        <w:rPr>
          <w:rFonts w:hint="eastAsia" w:cs="Times New Roman"/>
          <w:szCs w:val="21"/>
          <w:lang w:val="en-US" w:eastAsia="zh-CN"/>
        </w:rPr>
        <w:t>)</w:t>
      </w:r>
    </w:p>
    <w:p w14:paraId="71C83C84">
      <w:pPr>
        <w:pStyle w:val="23"/>
        <w:tabs>
          <w:tab w:val="right" w:leader="dot" w:pos="8306"/>
        </w:tabs>
      </w:pPr>
      <w:r>
        <w:fldChar w:fldCharType="begin"/>
      </w:r>
      <w:r>
        <w:instrText xml:space="preserve"> HYPERLINK \l _Toc30503 </w:instrText>
      </w:r>
      <w:r>
        <w:fldChar w:fldCharType="separate"/>
      </w:r>
      <w:r>
        <w:rPr>
          <w:rFonts w:hint="default" w:ascii="Times New Roman" w:hAnsi="Times New Roman" w:eastAsia="黑体" w:cs="Times New Roman"/>
          <w:szCs w:val="28"/>
          <w:lang w:val="en-US" w:eastAsia="zh-CN"/>
        </w:rPr>
        <w:t xml:space="preserve">4.1 </w:t>
      </w:r>
      <w:r>
        <w:rPr>
          <w:rFonts w:hint="eastAsia"/>
          <w:lang w:val="en-US" w:eastAsia="zh-CN"/>
        </w:rPr>
        <w:t>General requirements</w:t>
      </w:r>
      <w:r>
        <w:tab/>
      </w:r>
      <w:r>
        <w:rPr>
          <w:rFonts w:hint="eastAsia"/>
          <w:lang w:val="en-US" w:eastAsia="zh-CN"/>
        </w:rPr>
        <w:t>(</w:t>
      </w:r>
      <w:r>
        <w:fldChar w:fldCharType="begin"/>
      </w:r>
      <w:r>
        <w:instrText xml:space="preserve"> PAGEREF _Toc30503 \h </w:instrText>
      </w:r>
      <w:r>
        <w:fldChar w:fldCharType="separate"/>
      </w:r>
      <w:r>
        <w:t>7</w:t>
      </w:r>
      <w:r>
        <w:fldChar w:fldCharType="end"/>
      </w:r>
      <w:r>
        <w:fldChar w:fldCharType="end"/>
      </w:r>
      <w:r>
        <w:rPr>
          <w:rFonts w:hint="eastAsia" w:cs="Times New Roman"/>
          <w:szCs w:val="21"/>
          <w:lang w:val="en-US" w:eastAsia="zh-CN"/>
        </w:rPr>
        <w:t>)</w:t>
      </w:r>
    </w:p>
    <w:p w14:paraId="5664B379">
      <w:pPr>
        <w:pStyle w:val="23"/>
        <w:tabs>
          <w:tab w:val="right" w:leader="dot" w:pos="8306"/>
        </w:tabs>
      </w:pPr>
      <w:r>
        <w:fldChar w:fldCharType="begin"/>
      </w:r>
      <w:r>
        <w:instrText xml:space="preserve"> HYPERLINK \l _Toc28421 </w:instrText>
      </w:r>
      <w:r>
        <w:fldChar w:fldCharType="separate"/>
      </w:r>
      <w:r>
        <w:rPr>
          <w:rFonts w:hint="default" w:ascii="Times New Roman" w:hAnsi="Times New Roman" w:eastAsia="黑体" w:cs="Times New Roman"/>
          <w:szCs w:val="28"/>
          <w:lang w:val="en-US" w:eastAsia="zh-CN"/>
        </w:rPr>
        <w:t xml:space="preserve">4.2 </w:t>
      </w:r>
      <w:r>
        <w:rPr>
          <w:rFonts w:hint="eastAsia"/>
          <w:lang w:val="en-US" w:eastAsia="zh-CN"/>
        </w:rPr>
        <w:t>Model authoring</w:t>
      </w:r>
      <w:r>
        <w:tab/>
      </w:r>
      <w:r>
        <w:rPr>
          <w:rFonts w:hint="eastAsia"/>
          <w:lang w:val="en-US" w:eastAsia="zh-CN"/>
        </w:rPr>
        <w:t>(</w:t>
      </w:r>
      <w:r>
        <w:fldChar w:fldCharType="begin"/>
      </w:r>
      <w:r>
        <w:instrText xml:space="preserve"> PAGEREF _Toc28421 \h </w:instrText>
      </w:r>
      <w:r>
        <w:fldChar w:fldCharType="separate"/>
      </w:r>
      <w:r>
        <w:t>7</w:t>
      </w:r>
      <w:r>
        <w:fldChar w:fldCharType="end"/>
      </w:r>
      <w:r>
        <w:fldChar w:fldCharType="end"/>
      </w:r>
      <w:r>
        <w:rPr>
          <w:rFonts w:hint="eastAsia" w:cs="Times New Roman"/>
          <w:szCs w:val="21"/>
          <w:lang w:val="en-US" w:eastAsia="zh-CN"/>
        </w:rPr>
        <w:t>)</w:t>
      </w:r>
    </w:p>
    <w:p w14:paraId="1164E71E">
      <w:pPr>
        <w:pStyle w:val="23"/>
        <w:tabs>
          <w:tab w:val="right" w:leader="dot" w:pos="8306"/>
        </w:tabs>
      </w:pPr>
      <w:r>
        <w:fldChar w:fldCharType="begin"/>
      </w:r>
      <w:r>
        <w:instrText xml:space="preserve"> HYPERLINK \l _Toc15388 </w:instrText>
      </w:r>
      <w:r>
        <w:fldChar w:fldCharType="separate"/>
      </w:r>
      <w:r>
        <w:rPr>
          <w:rFonts w:hint="default" w:ascii="Times New Roman" w:hAnsi="Times New Roman" w:eastAsia="黑体" w:cs="Times New Roman"/>
          <w:szCs w:val="28"/>
          <w:lang w:val="en-US" w:eastAsia="zh-CN"/>
        </w:rPr>
        <w:t xml:space="preserve">4.3 </w:t>
      </w:r>
      <w:r>
        <w:rPr>
          <w:rFonts w:hint="eastAsia"/>
          <w:lang w:val="en-US" w:eastAsia="zh-CN"/>
        </w:rPr>
        <w:t>Level of model definition</w:t>
      </w:r>
      <w:r>
        <w:tab/>
      </w:r>
      <w:r>
        <w:rPr>
          <w:rFonts w:hint="eastAsia"/>
          <w:lang w:val="en-US" w:eastAsia="zh-CN"/>
        </w:rPr>
        <w:t>(</w:t>
      </w:r>
      <w:r>
        <w:fldChar w:fldCharType="begin"/>
      </w:r>
      <w:r>
        <w:instrText xml:space="preserve"> PAGEREF _Toc15388 \h </w:instrText>
      </w:r>
      <w:r>
        <w:fldChar w:fldCharType="separate"/>
      </w:r>
      <w:r>
        <w:t>8</w:t>
      </w:r>
      <w:r>
        <w:fldChar w:fldCharType="end"/>
      </w:r>
      <w:r>
        <w:fldChar w:fldCharType="end"/>
      </w:r>
      <w:r>
        <w:rPr>
          <w:rFonts w:hint="eastAsia" w:cs="Times New Roman"/>
          <w:szCs w:val="21"/>
          <w:lang w:val="en-US" w:eastAsia="zh-CN"/>
        </w:rPr>
        <w:t>)</w:t>
      </w:r>
    </w:p>
    <w:p w14:paraId="2D4E19E4">
      <w:pPr>
        <w:pStyle w:val="20"/>
        <w:tabs>
          <w:tab w:val="right" w:leader="dot" w:pos="8306"/>
          <w:tab w:val="clear" w:pos="8296"/>
        </w:tabs>
      </w:pPr>
      <w:r>
        <w:fldChar w:fldCharType="begin"/>
      </w:r>
      <w:r>
        <w:instrText xml:space="preserve"> HYPERLINK \l _Toc17074 </w:instrText>
      </w:r>
      <w:r>
        <w:fldChar w:fldCharType="separate"/>
      </w:r>
      <w:r>
        <w:rPr>
          <w:rFonts w:hint="default" w:ascii="Times New Roman" w:hAnsi="Times New Roman" w:eastAsia="宋体" w:cs="Times New Roman"/>
          <w:szCs w:val="30"/>
          <w:lang w:val="en-US" w:eastAsia="zh-CN"/>
        </w:rPr>
        <w:t xml:space="preserve">5 </w:t>
      </w:r>
      <w:r>
        <w:rPr>
          <w:rFonts w:hint="eastAsia"/>
          <w:lang w:val="en-US" w:eastAsia="zh-CN"/>
        </w:rPr>
        <w:t>Detail design</w:t>
      </w:r>
      <w:r>
        <w:tab/>
      </w:r>
      <w:r>
        <w:rPr>
          <w:rFonts w:hint="eastAsia"/>
          <w:lang w:val="en-US" w:eastAsia="zh-CN"/>
        </w:rPr>
        <w:t>(</w:t>
      </w:r>
      <w:r>
        <w:fldChar w:fldCharType="begin"/>
      </w:r>
      <w:r>
        <w:instrText xml:space="preserve"> PAGEREF _Toc17074 \h </w:instrText>
      </w:r>
      <w:r>
        <w:fldChar w:fldCharType="separate"/>
      </w:r>
      <w:r>
        <w:t>11</w:t>
      </w:r>
      <w:r>
        <w:fldChar w:fldCharType="end"/>
      </w:r>
      <w:r>
        <w:fldChar w:fldCharType="end"/>
      </w:r>
      <w:r>
        <w:rPr>
          <w:rFonts w:hint="eastAsia" w:cs="Times New Roman"/>
          <w:szCs w:val="21"/>
          <w:lang w:val="en-US" w:eastAsia="zh-CN"/>
        </w:rPr>
        <w:t>)</w:t>
      </w:r>
    </w:p>
    <w:p w14:paraId="51BEB792">
      <w:pPr>
        <w:pStyle w:val="23"/>
        <w:tabs>
          <w:tab w:val="right" w:leader="dot" w:pos="8306"/>
        </w:tabs>
      </w:pPr>
      <w:r>
        <w:fldChar w:fldCharType="begin"/>
      </w:r>
      <w:r>
        <w:instrText xml:space="preserve"> HYPERLINK \l _Toc402 </w:instrText>
      </w:r>
      <w:r>
        <w:fldChar w:fldCharType="separate"/>
      </w:r>
      <w:r>
        <w:rPr>
          <w:rFonts w:hint="default" w:ascii="Times New Roman" w:hAnsi="Times New Roman" w:eastAsia="黑体" w:cs="Times New Roman"/>
          <w:szCs w:val="28"/>
          <w:lang w:val="en-US" w:eastAsia="zh-CN"/>
        </w:rPr>
        <w:t xml:space="preserve">5.1 </w:t>
      </w:r>
      <w:r>
        <w:rPr>
          <w:rFonts w:hint="eastAsia"/>
          <w:lang w:val="en-US" w:eastAsia="zh-CN"/>
        </w:rPr>
        <w:t>General requirements</w:t>
      </w:r>
      <w:r>
        <w:tab/>
      </w:r>
      <w:r>
        <w:rPr>
          <w:rFonts w:hint="eastAsia"/>
          <w:lang w:val="en-US" w:eastAsia="zh-CN"/>
        </w:rPr>
        <w:t>(</w:t>
      </w:r>
      <w:r>
        <w:fldChar w:fldCharType="begin"/>
      </w:r>
      <w:r>
        <w:instrText xml:space="preserve"> PAGEREF _Toc402 \h </w:instrText>
      </w:r>
      <w:r>
        <w:fldChar w:fldCharType="separate"/>
      </w:r>
      <w:r>
        <w:t>11</w:t>
      </w:r>
      <w:r>
        <w:fldChar w:fldCharType="end"/>
      </w:r>
      <w:r>
        <w:fldChar w:fldCharType="end"/>
      </w:r>
      <w:r>
        <w:rPr>
          <w:rFonts w:hint="eastAsia" w:cs="Times New Roman"/>
          <w:szCs w:val="21"/>
          <w:lang w:val="en-US" w:eastAsia="zh-CN"/>
        </w:rPr>
        <w:t>)</w:t>
      </w:r>
    </w:p>
    <w:p w14:paraId="79F87324">
      <w:pPr>
        <w:pStyle w:val="23"/>
        <w:tabs>
          <w:tab w:val="right" w:leader="dot" w:pos="8306"/>
        </w:tabs>
      </w:pPr>
      <w:r>
        <w:fldChar w:fldCharType="begin"/>
      </w:r>
      <w:r>
        <w:instrText xml:space="preserve"> HYPERLINK \l _Toc14454 </w:instrText>
      </w:r>
      <w:r>
        <w:fldChar w:fldCharType="separate"/>
      </w:r>
      <w:r>
        <w:rPr>
          <w:rFonts w:hint="default" w:ascii="Times New Roman" w:hAnsi="Times New Roman" w:eastAsia="黑体" w:cs="Times New Roman"/>
          <w:szCs w:val="28"/>
          <w:lang w:val="en-US" w:eastAsia="zh-CN"/>
        </w:rPr>
        <w:t xml:space="preserve">5.2 </w:t>
      </w:r>
      <w:r>
        <w:rPr>
          <w:rFonts w:hint="eastAsia"/>
          <w:lang w:val="en-US" w:eastAsia="zh-CN"/>
        </w:rPr>
        <w:t>Detail design BIM execution principles</w:t>
      </w:r>
      <w:r>
        <w:tab/>
      </w:r>
      <w:r>
        <w:rPr>
          <w:rFonts w:hint="eastAsia"/>
          <w:lang w:val="en-US" w:eastAsia="zh-CN"/>
        </w:rPr>
        <w:t>(</w:t>
      </w:r>
      <w:r>
        <w:fldChar w:fldCharType="begin"/>
      </w:r>
      <w:r>
        <w:instrText xml:space="preserve"> PAGEREF _Toc14454 \h </w:instrText>
      </w:r>
      <w:r>
        <w:fldChar w:fldCharType="separate"/>
      </w:r>
      <w:r>
        <w:t>11</w:t>
      </w:r>
      <w:r>
        <w:fldChar w:fldCharType="end"/>
      </w:r>
      <w:r>
        <w:fldChar w:fldCharType="end"/>
      </w:r>
      <w:r>
        <w:rPr>
          <w:rFonts w:hint="eastAsia" w:cs="Times New Roman"/>
          <w:szCs w:val="21"/>
          <w:lang w:val="en-US" w:eastAsia="zh-CN"/>
        </w:rPr>
        <w:t>)</w:t>
      </w:r>
    </w:p>
    <w:p w14:paraId="17486722">
      <w:pPr>
        <w:pStyle w:val="23"/>
        <w:tabs>
          <w:tab w:val="right" w:leader="dot" w:pos="8306"/>
        </w:tabs>
      </w:pPr>
      <w:r>
        <w:fldChar w:fldCharType="begin"/>
      </w:r>
      <w:r>
        <w:instrText xml:space="preserve"> HYPERLINK \l _Toc14063 </w:instrText>
      </w:r>
      <w:r>
        <w:fldChar w:fldCharType="separate"/>
      </w:r>
      <w:r>
        <w:rPr>
          <w:rFonts w:hint="default" w:ascii="Times New Roman" w:hAnsi="Times New Roman" w:eastAsia="黑体" w:cs="Times New Roman"/>
          <w:szCs w:val="28"/>
          <w:lang w:val="en-US" w:eastAsia="zh-CN"/>
        </w:rPr>
        <w:t xml:space="preserve">5.3 </w:t>
      </w:r>
      <w:r>
        <w:rPr>
          <w:rFonts w:hint="eastAsia"/>
          <w:lang w:val="en-US" w:eastAsia="zh-CN"/>
        </w:rPr>
        <w:t>Detail design BIM execution contents</w:t>
      </w:r>
      <w:r>
        <w:tab/>
      </w:r>
      <w:r>
        <w:rPr>
          <w:rFonts w:hint="eastAsia"/>
          <w:lang w:val="en-US" w:eastAsia="zh-CN"/>
        </w:rPr>
        <w:t>(</w:t>
      </w:r>
      <w:r>
        <w:fldChar w:fldCharType="begin"/>
      </w:r>
      <w:r>
        <w:instrText xml:space="preserve"> PAGEREF _Toc14063 \h </w:instrText>
      </w:r>
      <w:r>
        <w:fldChar w:fldCharType="separate"/>
      </w:r>
      <w:r>
        <w:t>11</w:t>
      </w:r>
      <w:r>
        <w:fldChar w:fldCharType="end"/>
      </w:r>
      <w:r>
        <w:fldChar w:fldCharType="end"/>
      </w:r>
      <w:r>
        <w:rPr>
          <w:rFonts w:hint="eastAsia" w:cs="Times New Roman"/>
          <w:szCs w:val="21"/>
          <w:lang w:val="en-US" w:eastAsia="zh-CN"/>
        </w:rPr>
        <w:t>)</w:t>
      </w:r>
    </w:p>
    <w:p w14:paraId="4A3014CD">
      <w:pPr>
        <w:pStyle w:val="20"/>
        <w:tabs>
          <w:tab w:val="right" w:leader="dot" w:pos="8306"/>
          <w:tab w:val="clear" w:pos="8296"/>
        </w:tabs>
      </w:pPr>
      <w:r>
        <w:fldChar w:fldCharType="begin"/>
      </w:r>
      <w:r>
        <w:instrText xml:space="preserve"> HYPERLINK \l _Toc6406 </w:instrText>
      </w:r>
      <w:r>
        <w:fldChar w:fldCharType="separate"/>
      </w:r>
      <w:r>
        <w:rPr>
          <w:rFonts w:hint="default" w:ascii="Times New Roman" w:hAnsi="Times New Roman" w:eastAsia="宋体" w:cs="Times New Roman"/>
          <w:szCs w:val="30"/>
          <w:lang w:val="en-US" w:eastAsia="zh-CN"/>
        </w:rPr>
        <w:t xml:space="preserve">6 </w:t>
      </w:r>
      <w:r>
        <w:rPr>
          <w:rFonts w:hint="eastAsia"/>
          <w:lang w:val="en-US" w:eastAsia="zh-CN"/>
        </w:rPr>
        <w:t>Technical Preparation</w:t>
      </w:r>
      <w:r>
        <w:tab/>
      </w:r>
      <w:r>
        <w:rPr>
          <w:rFonts w:hint="eastAsia"/>
          <w:lang w:val="en-US" w:eastAsia="zh-CN"/>
        </w:rPr>
        <w:t>(</w:t>
      </w:r>
      <w:r>
        <w:fldChar w:fldCharType="begin"/>
      </w:r>
      <w:r>
        <w:instrText xml:space="preserve"> PAGEREF _Toc6406 \h </w:instrText>
      </w:r>
      <w:r>
        <w:fldChar w:fldCharType="separate"/>
      </w:r>
      <w:r>
        <w:t>13</w:t>
      </w:r>
      <w:r>
        <w:fldChar w:fldCharType="end"/>
      </w:r>
      <w:r>
        <w:fldChar w:fldCharType="end"/>
      </w:r>
      <w:r>
        <w:rPr>
          <w:rFonts w:hint="eastAsia" w:cs="Times New Roman"/>
          <w:szCs w:val="21"/>
          <w:lang w:val="en-US" w:eastAsia="zh-CN"/>
        </w:rPr>
        <w:t>)</w:t>
      </w:r>
    </w:p>
    <w:p w14:paraId="0AC35DD6">
      <w:pPr>
        <w:pStyle w:val="23"/>
        <w:tabs>
          <w:tab w:val="right" w:leader="dot" w:pos="8306"/>
        </w:tabs>
      </w:pPr>
      <w:r>
        <w:fldChar w:fldCharType="begin"/>
      </w:r>
      <w:r>
        <w:instrText xml:space="preserve"> HYPERLINK \l _Toc17772 </w:instrText>
      </w:r>
      <w:r>
        <w:fldChar w:fldCharType="separate"/>
      </w:r>
      <w:r>
        <w:rPr>
          <w:rFonts w:hint="default" w:ascii="Times New Roman" w:hAnsi="Times New Roman" w:eastAsia="黑体" w:cs="Times New Roman"/>
          <w:szCs w:val="28"/>
          <w:lang w:val="en-US" w:eastAsia="zh-CN"/>
        </w:rPr>
        <w:t xml:space="preserve">6.1 </w:t>
      </w:r>
      <w:r>
        <w:rPr>
          <w:rFonts w:hint="eastAsia"/>
          <w:lang w:val="en-US" w:eastAsia="zh-CN"/>
        </w:rPr>
        <w:t>General requirements</w:t>
      </w:r>
      <w:r>
        <w:tab/>
      </w:r>
      <w:r>
        <w:rPr>
          <w:rFonts w:hint="eastAsia"/>
          <w:lang w:val="en-US" w:eastAsia="zh-CN"/>
        </w:rPr>
        <w:t>(</w:t>
      </w:r>
      <w:r>
        <w:fldChar w:fldCharType="begin"/>
      </w:r>
      <w:r>
        <w:instrText xml:space="preserve"> PAGEREF _Toc17772 \h </w:instrText>
      </w:r>
      <w:r>
        <w:fldChar w:fldCharType="separate"/>
      </w:r>
      <w:r>
        <w:t>13</w:t>
      </w:r>
      <w:r>
        <w:fldChar w:fldCharType="end"/>
      </w:r>
      <w:r>
        <w:fldChar w:fldCharType="end"/>
      </w:r>
      <w:r>
        <w:rPr>
          <w:rFonts w:hint="eastAsia" w:cs="Times New Roman"/>
          <w:szCs w:val="21"/>
          <w:lang w:val="en-US" w:eastAsia="zh-CN"/>
        </w:rPr>
        <w:t>)</w:t>
      </w:r>
    </w:p>
    <w:p w14:paraId="75C5C025">
      <w:pPr>
        <w:pStyle w:val="23"/>
        <w:tabs>
          <w:tab w:val="right" w:leader="dot" w:pos="8306"/>
        </w:tabs>
      </w:pPr>
      <w:r>
        <w:fldChar w:fldCharType="begin"/>
      </w:r>
      <w:r>
        <w:instrText xml:space="preserve"> HYPERLINK \l _Toc18084 </w:instrText>
      </w:r>
      <w:r>
        <w:fldChar w:fldCharType="separate"/>
      </w:r>
      <w:r>
        <w:rPr>
          <w:rFonts w:hint="default" w:ascii="Times New Roman" w:hAnsi="Times New Roman" w:eastAsia="黑体" w:cs="Times New Roman"/>
          <w:szCs w:val="28"/>
          <w:lang w:val="en-US" w:eastAsia="zh-CN"/>
        </w:rPr>
        <w:t xml:space="preserve">6.2 </w:t>
      </w:r>
      <w:r>
        <w:rPr>
          <w:rFonts w:hint="eastAsia"/>
          <w:lang w:val="en-US" w:eastAsia="zh-CN"/>
        </w:rPr>
        <w:t>Statistics and data inputting</w:t>
      </w:r>
      <w:r>
        <w:tab/>
      </w:r>
      <w:r>
        <w:rPr>
          <w:rFonts w:hint="eastAsia"/>
          <w:lang w:val="en-US" w:eastAsia="zh-CN"/>
        </w:rPr>
        <w:t>(</w:t>
      </w:r>
      <w:r>
        <w:fldChar w:fldCharType="begin"/>
      </w:r>
      <w:r>
        <w:instrText xml:space="preserve"> PAGEREF _Toc18084 \h </w:instrText>
      </w:r>
      <w:r>
        <w:fldChar w:fldCharType="separate"/>
      </w:r>
      <w:r>
        <w:t>13</w:t>
      </w:r>
      <w:r>
        <w:fldChar w:fldCharType="end"/>
      </w:r>
      <w:r>
        <w:fldChar w:fldCharType="end"/>
      </w:r>
      <w:r>
        <w:rPr>
          <w:rFonts w:hint="eastAsia" w:cs="Times New Roman"/>
          <w:szCs w:val="21"/>
          <w:lang w:val="en-US" w:eastAsia="zh-CN"/>
        </w:rPr>
        <w:t>)</w:t>
      </w:r>
    </w:p>
    <w:p w14:paraId="2413A1C6">
      <w:pPr>
        <w:pStyle w:val="23"/>
        <w:tabs>
          <w:tab w:val="right" w:leader="dot" w:pos="8306"/>
        </w:tabs>
      </w:pPr>
      <w:r>
        <w:fldChar w:fldCharType="begin"/>
      </w:r>
      <w:r>
        <w:instrText xml:space="preserve"> HYPERLINK \l _Toc29808 </w:instrText>
      </w:r>
      <w:r>
        <w:fldChar w:fldCharType="separate"/>
      </w:r>
      <w:r>
        <w:rPr>
          <w:rFonts w:hint="default" w:ascii="Times New Roman" w:hAnsi="Times New Roman" w:eastAsia="黑体" w:cs="Times New Roman"/>
          <w:szCs w:val="28"/>
          <w:lang w:val="en-US" w:eastAsia="zh-CN"/>
        </w:rPr>
        <w:t xml:space="preserve">6.3 </w:t>
      </w:r>
      <w:r>
        <w:rPr>
          <w:rFonts w:hint="eastAsia"/>
          <w:lang w:val="en-US" w:eastAsia="zh-CN"/>
        </w:rPr>
        <w:t>Clash detection</w:t>
      </w:r>
      <w:r>
        <w:tab/>
      </w:r>
      <w:r>
        <w:rPr>
          <w:rFonts w:hint="eastAsia"/>
          <w:lang w:val="en-US" w:eastAsia="zh-CN"/>
        </w:rPr>
        <w:t>(</w:t>
      </w:r>
      <w:r>
        <w:fldChar w:fldCharType="begin"/>
      </w:r>
      <w:r>
        <w:instrText xml:space="preserve"> PAGEREF _Toc29808 \h </w:instrText>
      </w:r>
      <w:r>
        <w:fldChar w:fldCharType="separate"/>
      </w:r>
      <w:r>
        <w:t>13</w:t>
      </w:r>
      <w:r>
        <w:fldChar w:fldCharType="end"/>
      </w:r>
      <w:r>
        <w:fldChar w:fldCharType="end"/>
      </w:r>
      <w:r>
        <w:rPr>
          <w:rFonts w:hint="eastAsia" w:cs="Times New Roman"/>
          <w:szCs w:val="21"/>
          <w:lang w:val="en-US" w:eastAsia="zh-CN"/>
        </w:rPr>
        <w:t>)</w:t>
      </w:r>
    </w:p>
    <w:p w14:paraId="7B6FC497">
      <w:pPr>
        <w:pStyle w:val="23"/>
        <w:tabs>
          <w:tab w:val="right" w:leader="dot" w:pos="8306"/>
        </w:tabs>
      </w:pPr>
      <w:r>
        <w:fldChar w:fldCharType="begin"/>
      </w:r>
      <w:r>
        <w:instrText xml:space="preserve"> HYPERLINK \l _Toc18593 </w:instrText>
      </w:r>
      <w:r>
        <w:fldChar w:fldCharType="separate"/>
      </w:r>
      <w:r>
        <w:rPr>
          <w:rFonts w:hint="default" w:ascii="Times New Roman" w:hAnsi="Times New Roman" w:eastAsia="黑体" w:cs="Times New Roman"/>
          <w:szCs w:val="28"/>
          <w:lang w:val="en-US" w:eastAsia="zh-CN"/>
        </w:rPr>
        <w:t xml:space="preserve">6.4 </w:t>
      </w:r>
      <w:r>
        <w:rPr>
          <w:rFonts w:hint="eastAsia"/>
          <w:highlight w:val="none"/>
          <w:lang w:val="en-US" w:eastAsia="zh-CN"/>
        </w:rPr>
        <w:t>Construction simulation</w:t>
      </w:r>
      <w:r>
        <w:tab/>
      </w:r>
      <w:r>
        <w:rPr>
          <w:rFonts w:hint="eastAsia"/>
          <w:lang w:val="en-US" w:eastAsia="zh-CN"/>
        </w:rPr>
        <w:t>(</w:t>
      </w:r>
      <w:r>
        <w:fldChar w:fldCharType="begin"/>
      </w:r>
      <w:r>
        <w:instrText xml:space="preserve"> PAGEREF _Toc18593 \h </w:instrText>
      </w:r>
      <w:r>
        <w:fldChar w:fldCharType="separate"/>
      </w:r>
      <w:r>
        <w:t>14</w:t>
      </w:r>
      <w:r>
        <w:fldChar w:fldCharType="end"/>
      </w:r>
      <w:r>
        <w:fldChar w:fldCharType="end"/>
      </w:r>
      <w:r>
        <w:rPr>
          <w:rFonts w:hint="eastAsia" w:cs="Times New Roman"/>
          <w:szCs w:val="21"/>
          <w:lang w:val="en-US" w:eastAsia="zh-CN"/>
        </w:rPr>
        <w:t>)</w:t>
      </w:r>
    </w:p>
    <w:p w14:paraId="10D5E8BC">
      <w:pPr>
        <w:pStyle w:val="23"/>
        <w:tabs>
          <w:tab w:val="right" w:leader="dot" w:pos="8306"/>
        </w:tabs>
      </w:pPr>
      <w:r>
        <w:fldChar w:fldCharType="begin"/>
      </w:r>
      <w:r>
        <w:instrText xml:space="preserve"> HYPERLINK \l _Toc7552 </w:instrText>
      </w:r>
      <w:r>
        <w:fldChar w:fldCharType="separate"/>
      </w:r>
      <w:r>
        <w:rPr>
          <w:rFonts w:hint="default" w:ascii="Times New Roman" w:hAnsi="Times New Roman" w:eastAsia="黑体" w:cs="Times New Roman"/>
          <w:szCs w:val="28"/>
          <w:lang w:val="en-US" w:eastAsia="zh-CN"/>
        </w:rPr>
        <w:t xml:space="preserve">6.5 </w:t>
      </w:r>
      <w:r>
        <w:rPr>
          <w:rFonts w:hint="eastAsia"/>
          <w:lang w:val="en-US" w:eastAsia="zh-CN"/>
        </w:rPr>
        <w:t>Modular design</w:t>
      </w:r>
      <w:r>
        <w:tab/>
      </w:r>
      <w:r>
        <w:rPr>
          <w:rFonts w:hint="eastAsia"/>
          <w:lang w:val="en-US" w:eastAsia="zh-CN"/>
        </w:rPr>
        <w:t>(</w:t>
      </w:r>
      <w:r>
        <w:fldChar w:fldCharType="begin"/>
      </w:r>
      <w:r>
        <w:instrText xml:space="preserve"> PAGEREF _Toc7552 \h </w:instrText>
      </w:r>
      <w:r>
        <w:fldChar w:fldCharType="separate"/>
      </w:r>
      <w:r>
        <w:t>14</w:t>
      </w:r>
      <w:r>
        <w:fldChar w:fldCharType="end"/>
      </w:r>
      <w:r>
        <w:fldChar w:fldCharType="end"/>
      </w:r>
      <w:r>
        <w:rPr>
          <w:rFonts w:hint="eastAsia" w:cs="Times New Roman"/>
          <w:szCs w:val="21"/>
          <w:lang w:val="en-US" w:eastAsia="zh-CN"/>
        </w:rPr>
        <w:t>)</w:t>
      </w:r>
    </w:p>
    <w:p w14:paraId="7C3D8AA2">
      <w:pPr>
        <w:pStyle w:val="20"/>
        <w:tabs>
          <w:tab w:val="right" w:leader="dot" w:pos="8306"/>
          <w:tab w:val="clear" w:pos="8296"/>
        </w:tabs>
      </w:pPr>
      <w:r>
        <w:fldChar w:fldCharType="begin"/>
      </w:r>
      <w:r>
        <w:instrText xml:space="preserve"> HYPERLINK \l _Toc11264 </w:instrText>
      </w:r>
      <w:r>
        <w:fldChar w:fldCharType="separate"/>
      </w:r>
      <w:r>
        <w:rPr>
          <w:rFonts w:hint="default" w:ascii="Times New Roman" w:hAnsi="Times New Roman" w:eastAsia="宋体" w:cs="Times New Roman"/>
          <w:szCs w:val="30"/>
          <w:lang w:val="en-US" w:eastAsia="zh-CN"/>
        </w:rPr>
        <w:t xml:space="preserve">7 </w:t>
      </w:r>
      <w:r>
        <w:rPr>
          <w:rFonts w:hint="eastAsia"/>
          <w:lang w:val="en-US" w:eastAsia="zh-CN"/>
        </w:rPr>
        <w:t>Component prefabrication</w:t>
      </w:r>
      <w:r>
        <w:tab/>
      </w:r>
      <w:r>
        <w:rPr>
          <w:rFonts w:hint="eastAsia"/>
          <w:lang w:val="en-US" w:eastAsia="zh-CN"/>
        </w:rPr>
        <w:t>(</w:t>
      </w:r>
      <w:r>
        <w:fldChar w:fldCharType="begin"/>
      </w:r>
      <w:r>
        <w:instrText xml:space="preserve"> PAGEREF _Toc11264 \h </w:instrText>
      </w:r>
      <w:r>
        <w:fldChar w:fldCharType="separate"/>
      </w:r>
      <w:r>
        <w:t>15</w:t>
      </w:r>
      <w:r>
        <w:fldChar w:fldCharType="end"/>
      </w:r>
      <w:r>
        <w:fldChar w:fldCharType="end"/>
      </w:r>
      <w:r>
        <w:rPr>
          <w:rFonts w:hint="eastAsia" w:cs="Times New Roman"/>
          <w:szCs w:val="21"/>
          <w:lang w:val="en-US" w:eastAsia="zh-CN"/>
        </w:rPr>
        <w:t>)</w:t>
      </w:r>
    </w:p>
    <w:p w14:paraId="212DA519">
      <w:pPr>
        <w:pStyle w:val="20"/>
        <w:tabs>
          <w:tab w:val="right" w:leader="dot" w:pos="8306"/>
          <w:tab w:val="clear" w:pos="8296"/>
        </w:tabs>
      </w:pPr>
      <w:r>
        <w:fldChar w:fldCharType="begin"/>
      </w:r>
      <w:r>
        <w:instrText xml:space="preserve"> HYPERLINK \l _Toc5342 </w:instrText>
      </w:r>
      <w:r>
        <w:fldChar w:fldCharType="separate"/>
      </w:r>
      <w:r>
        <w:rPr>
          <w:rFonts w:hint="default" w:ascii="Times New Roman" w:hAnsi="Times New Roman" w:eastAsia="宋体" w:cs="Times New Roman"/>
          <w:szCs w:val="30"/>
          <w:lang w:val="en-US" w:eastAsia="zh-CN"/>
        </w:rPr>
        <w:t xml:space="preserve">8 </w:t>
      </w:r>
      <w:r>
        <w:rPr>
          <w:rFonts w:hint="eastAsia"/>
          <w:lang w:val="en-US" w:eastAsia="zh-CN"/>
        </w:rPr>
        <w:t>Construction implementation</w:t>
      </w:r>
      <w:r>
        <w:tab/>
      </w:r>
      <w:r>
        <w:rPr>
          <w:rFonts w:hint="eastAsia"/>
          <w:lang w:val="en-US" w:eastAsia="zh-CN"/>
        </w:rPr>
        <w:t>(</w:t>
      </w:r>
      <w:r>
        <w:fldChar w:fldCharType="begin"/>
      </w:r>
      <w:r>
        <w:instrText xml:space="preserve"> PAGEREF _Toc5342 \h </w:instrText>
      </w:r>
      <w:r>
        <w:fldChar w:fldCharType="separate"/>
      </w:r>
      <w:r>
        <w:t>16</w:t>
      </w:r>
      <w:r>
        <w:fldChar w:fldCharType="end"/>
      </w:r>
      <w:r>
        <w:fldChar w:fldCharType="end"/>
      </w:r>
      <w:r>
        <w:rPr>
          <w:rFonts w:hint="eastAsia" w:cs="Times New Roman"/>
          <w:szCs w:val="21"/>
          <w:lang w:val="en-US" w:eastAsia="zh-CN"/>
        </w:rPr>
        <w:t>)</w:t>
      </w:r>
    </w:p>
    <w:p w14:paraId="073B8DC9">
      <w:pPr>
        <w:pStyle w:val="23"/>
        <w:tabs>
          <w:tab w:val="right" w:leader="dot" w:pos="8306"/>
        </w:tabs>
      </w:pPr>
      <w:r>
        <w:fldChar w:fldCharType="begin"/>
      </w:r>
      <w:r>
        <w:instrText xml:space="preserve"> HYPERLINK \l _Toc10776 </w:instrText>
      </w:r>
      <w:r>
        <w:fldChar w:fldCharType="separate"/>
      </w:r>
      <w:r>
        <w:rPr>
          <w:rFonts w:hint="default" w:ascii="Times New Roman" w:hAnsi="Times New Roman" w:eastAsia="黑体" w:cs="Times New Roman"/>
          <w:szCs w:val="28"/>
          <w:lang w:val="en-US" w:eastAsia="zh-CN"/>
        </w:rPr>
        <w:t xml:space="preserve">8.1 </w:t>
      </w:r>
      <w:r>
        <w:rPr>
          <w:rFonts w:hint="eastAsia"/>
          <w:lang w:val="en-US" w:eastAsia="zh-CN"/>
        </w:rPr>
        <w:t>General requirements</w:t>
      </w:r>
      <w:r>
        <w:tab/>
      </w:r>
      <w:r>
        <w:rPr>
          <w:rFonts w:hint="eastAsia"/>
          <w:lang w:val="en-US" w:eastAsia="zh-CN"/>
        </w:rPr>
        <w:t>(</w:t>
      </w:r>
      <w:r>
        <w:fldChar w:fldCharType="begin"/>
      </w:r>
      <w:r>
        <w:instrText xml:space="preserve"> PAGEREF _Toc10776 \h </w:instrText>
      </w:r>
      <w:r>
        <w:fldChar w:fldCharType="separate"/>
      </w:r>
      <w:r>
        <w:t>16</w:t>
      </w:r>
      <w:r>
        <w:fldChar w:fldCharType="end"/>
      </w:r>
      <w:r>
        <w:fldChar w:fldCharType="end"/>
      </w:r>
      <w:r>
        <w:rPr>
          <w:rFonts w:hint="eastAsia" w:cs="Times New Roman"/>
          <w:szCs w:val="21"/>
          <w:lang w:val="en-US" w:eastAsia="zh-CN"/>
        </w:rPr>
        <w:t>)</w:t>
      </w:r>
    </w:p>
    <w:p w14:paraId="547A294E">
      <w:pPr>
        <w:pStyle w:val="23"/>
        <w:tabs>
          <w:tab w:val="right" w:leader="dot" w:pos="8306"/>
        </w:tabs>
      </w:pPr>
      <w:r>
        <w:fldChar w:fldCharType="begin"/>
      </w:r>
      <w:r>
        <w:instrText xml:space="preserve"> HYPERLINK \l _Toc5147 </w:instrText>
      </w:r>
      <w:r>
        <w:fldChar w:fldCharType="separate"/>
      </w:r>
      <w:r>
        <w:rPr>
          <w:rFonts w:hint="default" w:ascii="Times New Roman" w:hAnsi="Times New Roman" w:eastAsia="黑体" w:cs="Times New Roman"/>
          <w:szCs w:val="28"/>
          <w:lang w:val="en-US" w:eastAsia="zh-CN"/>
        </w:rPr>
        <w:t xml:space="preserve">8.2 </w:t>
      </w:r>
      <w:r>
        <w:rPr>
          <w:rFonts w:hint="eastAsia"/>
          <w:lang w:val="en-US" w:eastAsia="zh-CN"/>
        </w:rPr>
        <w:t>Construction application</w:t>
      </w:r>
      <w:r>
        <w:tab/>
      </w:r>
      <w:r>
        <w:rPr>
          <w:rFonts w:hint="eastAsia"/>
          <w:lang w:val="en-US" w:eastAsia="zh-CN"/>
        </w:rPr>
        <w:t>(</w:t>
      </w:r>
      <w:r>
        <w:fldChar w:fldCharType="begin"/>
      </w:r>
      <w:r>
        <w:instrText xml:space="preserve"> PAGEREF _Toc5147 \h </w:instrText>
      </w:r>
      <w:r>
        <w:fldChar w:fldCharType="separate"/>
      </w:r>
      <w:r>
        <w:t>16</w:t>
      </w:r>
      <w:r>
        <w:fldChar w:fldCharType="end"/>
      </w:r>
      <w:r>
        <w:fldChar w:fldCharType="end"/>
      </w:r>
      <w:r>
        <w:rPr>
          <w:rFonts w:hint="eastAsia" w:cs="Times New Roman"/>
          <w:szCs w:val="21"/>
          <w:lang w:val="en-US" w:eastAsia="zh-CN"/>
        </w:rPr>
        <w:t>)</w:t>
      </w:r>
    </w:p>
    <w:p w14:paraId="23B6A78E">
      <w:pPr>
        <w:pStyle w:val="23"/>
        <w:tabs>
          <w:tab w:val="right" w:leader="dot" w:pos="8306"/>
        </w:tabs>
      </w:pPr>
      <w:r>
        <w:fldChar w:fldCharType="begin"/>
      </w:r>
      <w:r>
        <w:instrText xml:space="preserve"> HYPERLINK \l _Toc19821 </w:instrText>
      </w:r>
      <w:r>
        <w:fldChar w:fldCharType="separate"/>
      </w:r>
      <w:r>
        <w:rPr>
          <w:rFonts w:hint="default" w:ascii="Times New Roman" w:hAnsi="Times New Roman" w:eastAsia="黑体" w:cs="Times New Roman"/>
          <w:szCs w:val="28"/>
          <w:lang w:val="en-US" w:eastAsia="zh-CN"/>
        </w:rPr>
        <w:t xml:space="preserve">8.3 </w:t>
      </w:r>
      <w:r>
        <w:rPr>
          <w:rFonts w:hint="eastAsia"/>
          <w:lang w:val="en-US" w:eastAsia="zh-CN"/>
        </w:rPr>
        <w:t>Schedule management</w:t>
      </w:r>
      <w:r>
        <w:tab/>
      </w:r>
      <w:r>
        <w:rPr>
          <w:rFonts w:hint="eastAsia"/>
          <w:lang w:val="en-US" w:eastAsia="zh-CN"/>
        </w:rPr>
        <w:t>(</w:t>
      </w:r>
      <w:r>
        <w:fldChar w:fldCharType="begin"/>
      </w:r>
      <w:r>
        <w:instrText xml:space="preserve"> PAGEREF _Toc19821 \h </w:instrText>
      </w:r>
      <w:r>
        <w:fldChar w:fldCharType="separate"/>
      </w:r>
      <w:r>
        <w:t>16</w:t>
      </w:r>
      <w:r>
        <w:fldChar w:fldCharType="end"/>
      </w:r>
      <w:r>
        <w:fldChar w:fldCharType="end"/>
      </w:r>
      <w:r>
        <w:rPr>
          <w:rFonts w:hint="eastAsia" w:cs="Times New Roman"/>
          <w:szCs w:val="21"/>
          <w:lang w:val="en-US" w:eastAsia="zh-CN"/>
        </w:rPr>
        <w:t>)</w:t>
      </w:r>
    </w:p>
    <w:p w14:paraId="48CB6FF8">
      <w:pPr>
        <w:pStyle w:val="23"/>
        <w:tabs>
          <w:tab w:val="right" w:leader="dot" w:pos="8306"/>
        </w:tabs>
      </w:pPr>
      <w:r>
        <w:fldChar w:fldCharType="begin"/>
      </w:r>
      <w:r>
        <w:instrText xml:space="preserve"> HYPERLINK \l _Toc7708 </w:instrText>
      </w:r>
      <w:r>
        <w:fldChar w:fldCharType="separate"/>
      </w:r>
      <w:r>
        <w:rPr>
          <w:rFonts w:hint="default" w:ascii="Times New Roman" w:hAnsi="Times New Roman" w:eastAsia="黑体" w:cs="Times New Roman"/>
          <w:szCs w:val="28"/>
          <w:lang w:val="en-US" w:eastAsia="zh-CN"/>
        </w:rPr>
        <w:t xml:space="preserve">8.4 </w:t>
      </w:r>
      <w:r>
        <w:rPr>
          <w:rFonts w:hint="eastAsia"/>
          <w:lang w:val="en-US" w:eastAsia="zh-CN"/>
        </w:rPr>
        <w:t>Quality management</w:t>
      </w:r>
      <w:r>
        <w:tab/>
      </w:r>
      <w:r>
        <w:rPr>
          <w:rFonts w:hint="eastAsia"/>
          <w:lang w:val="en-US" w:eastAsia="zh-CN"/>
        </w:rPr>
        <w:t>(</w:t>
      </w:r>
      <w:r>
        <w:fldChar w:fldCharType="begin"/>
      </w:r>
      <w:r>
        <w:instrText xml:space="preserve"> PAGEREF _Toc7708 \h </w:instrText>
      </w:r>
      <w:r>
        <w:fldChar w:fldCharType="separate"/>
      </w:r>
      <w:r>
        <w:t>18</w:t>
      </w:r>
      <w:r>
        <w:fldChar w:fldCharType="end"/>
      </w:r>
      <w:r>
        <w:fldChar w:fldCharType="end"/>
      </w:r>
      <w:r>
        <w:rPr>
          <w:rFonts w:hint="eastAsia" w:cs="Times New Roman"/>
          <w:szCs w:val="21"/>
          <w:lang w:val="en-US" w:eastAsia="zh-CN"/>
        </w:rPr>
        <w:t>)</w:t>
      </w:r>
    </w:p>
    <w:p w14:paraId="43E80BD7">
      <w:pPr>
        <w:pStyle w:val="23"/>
        <w:tabs>
          <w:tab w:val="right" w:leader="dot" w:pos="8306"/>
        </w:tabs>
      </w:pPr>
      <w:r>
        <w:fldChar w:fldCharType="begin"/>
      </w:r>
      <w:r>
        <w:instrText xml:space="preserve"> HYPERLINK \l _Toc19983 </w:instrText>
      </w:r>
      <w:r>
        <w:fldChar w:fldCharType="separate"/>
      </w:r>
      <w:r>
        <w:rPr>
          <w:rFonts w:hint="default" w:ascii="Times New Roman" w:hAnsi="Times New Roman" w:eastAsia="黑体" w:cs="Times New Roman"/>
          <w:szCs w:val="28"/>
          <w:lang w:val="en-US" w:eastAsia="zh-CN"/>
        </w:rPr>
        <w:t xml:space="preserve">8.5 </w:t>
      </w:r>
      <w:r>
        <w:rPr>
          <w:rFonts w:hint="eastAsia"/>
          <w:lang w:val="en-US" w:eastAsia="zh-CN"/>
        </w:rPr>
        <w:t>Safety management</w:t>
      </w:r>
      <w:r>
        <w:tab/>
      </w:r>
      <w:r>
        <w:rPr>
          <w:rFonts w:hint="eastAsia"/>
          <w:lang w:val="en-US" w:eastAsia="zh-CN"/>
        </w:rPr>
        <w:t>(</w:t>
      </w:r>
      <w:r>
        <w:fldChar w:fldCharType="begin"/>
      </w:r>
      <w:r>
        <w:instrText xml:space="preserve"> PAGEREF _Toc19983 \h </w:instrText>
      </w:r>
      <w:r>
        <w:fldChar w:fldCharType="separate"/>
      </w:r>
      <w:r>
        <w:t>18</w:t>
      </w:r>
      <w:r>
        <w:fldChar w:fldCharType="end"/>
      </w:r>
      <w:r>
        <w:fldChar w:fldCharType="end"/>
      </w:r>
      <w:r>
        <w:rPr>
          <w:rFonts w:hint="eastAsia" w:cs="Times New Roman"/>
          <w:szCs w:val="21"/>
          <w:lang w:val="en-US" w:eastAsia="zh-CN"/>
        </w:rPr>
        <w:t>)</w:t>
      </w:r>
    </w:p>
    <w:p w14:paraId="5E482488">
      <w:pPr>
        <w:pStyle w:val="20"/>
        <w:tabs>
          <w:tab w:val="right" w:leader="dot" w:pos="8306"/>
          <w:tab w:val="clear" w:pos="8296"/>
        </w:tabs>
      </w:pPr>
      <w:r>
        <w:fldChar w:fldCharType="begin"/>
      </w:r>
      <w:r>
        <w:instrText xml:space="preserve"> HYPERLINK \l _Toc20581 </w:instrText>
      </w:r>
      <w:r>
        <w:fldChar w:fldCharType="separate"/>
      </w:r>
      <w:r>
        <w:rPr>
          <w:rFonts w:hint="default" w:ascii="Times New Roman" w:hAnsi="Times New Roman" w:eastAsia="宋体" w:cs="Times New Roman"/>
          <w:szCs w:val="30"/>
          <w:lang w:val="en-US" w:eastAsia="zh-CN"/>
        </w:rPr>
        <w:t xml:space="preserve">9 </w:t>
      </w:r>
      <w:r>
        <w:rPr>
          <w:rFonts w:hint="eastAsia"/>
          <w:lang w:val="en-US" w:eastAsia="zh-CN"/>
        </w:rPr>
        <w:t>Completion delivery</w:t>
      </w:r>
      <w:r>
        <w:tab/>
      </w:r>
      <w:r>
        <w:rPr>
          <w:rFonts w:hint="eastAsia"/>
          <w:lang w:val="en-US" w:eastAsia="zh-CN"/>
        </w:rPr>
        <w:t>(</w:t>
      </w:r>
      <w:r>
        <w:fldChar w:fldCharType="begin"/>
      </w:r>
      <w:r>
        <w:instrText xml:space="preserve"> PAGEREF _Toc20581 \h </w:instrText>
      </w:r>
      <w:r>
        <w:fldChar w:fldCharType="separate"/>
      </w:r>
      <w:r>
        <w:t>20</w:t>
      </w:r>
      <w:r>
        <w:fldChar w:fldCharType="end"/>
      </w:r>
      <w:r>
        <w:fldChar w:fldCharType="end"/>
      </w:r>
      <w:r>
        <w:rPr>
          <w:rFonts w:hint="eastAsia" w:cs="Times New Roman"/>
          <w:szCs w:val="21"/>
          <w:lang w:val="en-US" w:eastAsia="zh-CN"/>
        </w:rPr>
        <w:t>)</w:t>
      </w:r>
    </w:p>
    <w:p w14:paraId="16464004">
      <w:pPr>
        <w:pStyle w:val="23"/>
        <w:tabs>
          <w:tab w:val="right" w:leader="dot" w:pos="8306"/>
        </w:tabs>
      </w:pPr>
      <w:r>
        <w:fldChar w:fldCharType="begin"/>
      </w:r>
      <w:r>
        <w:instrText xml:space="preserve"> HYPERLINK \l _Toc27206 </w:instrText>
      </w:r>
      <w:r>
        <w:fldChar w:fldCharType="separate"/>
      </w:r>
      <w:r>
        <w:rPr>
          <w:rFonts w:hint="default" w:ascii="Times New Roman" w:hAnsi="Times New Roman" w:eastAsia="黑体" w:cs="Times New Roman"/>
          <w:szCs w:val="28"/>
          <w:lang w:val="en-US" w:eastAsia="zh-CN"/>
        </w:rPr>
        <w:t xml:space="preserve">9.1 </w:t>
      </w:r>
      <w:r>
        <w:rPr>
          <w:rFonts w:hint="eastAsia"/>
          <w:lang w:val="en-US" w:eastAsia="zh-CN"/>
        </w:rPr>
        <w:t>General requirements</w:t>
      </w:r>
      <w:r>
        <w:tab/>
      </w:r>
      <w:r>
        <w:rPr>
          <w:rFonts w:hint="eastAsia"/>
          <w:lang w:val="en-US" w:eastAsia="zh-CN"/>
        </w:rPr>
        <w:t>(</w:t>
      </w:r>
      <w:r>
        <w:fldChar w:fldCharType="begin"/>
      </w:r>
      <w:r>
        <w:instrText xml:space="preserve"> PAGEREF _Toc27206 \h </w:instrText>
      </w:r>
      <w:r>
        <w:fldChar w:fldCharType="separate"/>
      </w:r>
      <w:r>
        <w:t>20</w:t>
      </w:r>
      <w:r>
        <w:fldChar w:fldCharType="end"/>
      </w:r>
      <w:r>
        <w:fldChar w:fldCharType="end"/>
      </w:r>
      <w:r>
        <w:rPr>
          <w:rFonts w:hint="eastAsia" w:cs="Times New Roman"/>
          <w:szCs w:val="21"/>
          <w:lang w:val="en-US" w:eastAsia="zh-CN"/>
        </w:rPr>
        <w:t>)</w:t>
      </w:r>
    </w:p>
    <w:p w14:paraId="4EEBABFE">
      <w:pPr>
        <w:pStyle w:val="23"/>
        <w:tabs>
          <w:tab w:val="right" w:leader="dot" w:pos="8306"/>
        </w:tabs>
      </w:pPr>
      <w:r>
        <w:fldChar w:fldCharType="begin"/>
      </w:r>
      <w:r>
        <w:instrText xml:space="preserve"> HYPERLINK \l _Toc29609 </w:instrText>
      </w:r>
      <w:r>
        <w:fldChar w:fldCharType="separate"/>
      </w:r>
      <w:r>
        <w:rPr>
          <w:rFonts w:hint="default" w:ascii="Times New Roman" w:hAnsi="Times New Roman" w:eastAsia="黑体" w:cs="Times New Roman"/>
          <w:szCs w:val="28"/>
          <w:lang w:val="en-US" w:eastAsia="zh-CN"/>
        </w:rPr>
        <w:t xml:space="preserve">9.2 </w:t>
      </w:r>
      <w:r>
        <w:rPr>
          <w:rFonts w:hint="eastAsia"/>
          <w:lang w:val="en-US" w:eastAsia="zh-CN"/>
        </w:rPr>
        <w:t>Completion delivery model</w:t>
      </w:r>
      <w:r>
        <w:tab/>
      </w:r>
      <w:r>
        <w:rPr>
          <w:rFonts w:hint="eastAsia"/>
          <w:lang w:val="en-US" w:eastAsia="zh-CN"/>
        </w:rPr>
        <w:t>(</w:t>
      </w:r>
      <w:r>
        <w:fldChar w:fldCharType="begin"/>
      </w:r>
      <w:r>
        <w:instrText xml:space="preserve"> PAGEREF _Toc29609 \h </w:instrText>
      </w:r>
      <w:r>
        <w:fldChar w:fldCharType="separate"/>
      </w:r>
      <w:r>
        <w:t>20</w:t>
      </w:r>
      <w:r>
        <w:fldChar w:fldCharType="end"/>
      </w:r>
      <w:r>
        <w:fldChar w:fldCharType="end"/>
      </w:r>
      <w:r>
        <w:rPr>
          <w:rFonts w:hint="eastAsia" w:cs="Times New Roman"/>
          <w:szCs w:val="21"/>
          <w:lang w:val="en-US" w:eastAsia="zh-CN"/>
        </w:rPr>
        <w:t>)</w:t>
      </w:r>
    </w:p>
    <w:p w14:paraId="185B80D4">
      <w:pPr>
        <w:pStyle w:val="23"/>
        <w:tabs>
          <w:tab w:val="right" w:leader="dot" w:pos="8306"/>
        </w:tabs>
      </w:pPr>
      <w:r>
        <w:fldChar w:fldCharType="begin"/>
      </w:r>
      <w:r>
        <w:instrText xml:space="preserve"> HYPERLINK \l _Toc25945 </w:instrText>
      </w:r>
      <w:r>
        <w:fldChar w:fldCharType="separate"/>
      </w:r>
      <w:r>
        <w:rPr>
          <w:rFonts w:hint="default" w:ascii="Times New Roman" w:hAnsi="Times New Roman" w:eastAsia="黑体" w:cs="Times New Roman"/>
          <w:szCs w:val="28"/>
          <w:lang w:val="en-US" w:eastAsia="zh-CN"/>
        </w:rPr>
        <w:t xml:space="preserve">9.3 </w:t>
      </w:r>
      <w:r>
        <w:rPr>
          <w:rFonts w:hint="eastAsia"/>
          <w:lang w:val="en-US" w:eastAsia="zh-CN"/>
        </w:rPr>
        <w:t>Completion delivery documents</w:t>
      </w:r>
      <w:r>
        <w:tab/>
      </w:r>
      <w:r>
        <w:rPr>
          <w:rFonts w:hint="eastAsia"/>
          <w:lang w:val="en-US" w:eastAsia="zh-CN"/>
        </w:rPr>
        <w:t>(</w:t>
      </w:r>
      <w:r>
        <w:fldChar w:fldCharType="begin"/>
      </w:r>
      <w:r>
        <w:instrText xml:space="preserve"> PAGEREF _Toc25945 \h </w:instrText>
      </w:r>
      <w:r>
        <w:fldChar w:fldCharType="separate"/>
      </w:r>
      <w:r>
        <w:t>20</w:t>
      </w:r>
      <w:r>
        <w:fldChar w:fldCharType="end"/>
      </w:r>
      <w:r>
        <w:fldChar w:fldCharType="end"/>
      </w:r>
      <w:r>
        <w:rPr>
          <w:rFonts w:hint="eastAsia" w:cs="Times New Roman"/>
          <w:szCs w:val="21"/>
          <w:lang w:val="en-US" w:eastAsia="zh-CN"/>
        </w:rPr>
        <w:t>)</w:t>
      </w:r>
    </w:p>
    <w:p w14:paraId="7CABB2E5">
      <w:pPr>
        <w:pStyle w:val="20"/>
        <w:tabs>
          <w:tab w:val="right" w:leader="dot" w:pos="8306"/>
          <w:tab w:val="clear" w:pos="8296"/>
        </w:tabs>
      </w:pPr>
      <w:r>
        <w:fldChar w:fldCharType="begin"/>
      </w:r>
      <w:r>
        <w:instrText xml:space="preserve"> HYPERLINK \l _Toc28144 </w:instrText>
      </w:r>
      <w:r>
        <w:fldChar w:fldCharType="separate"/>
      </w:r>
      <w:r>
        <w:rPr>
          <w:rFonts w:hint="eastAsia"/>
          <w:lang w:val="en-US" w:eastAsia="zh-CN"/>
        </w:rPr>
        <w:t>Appendix A  Level of geometric detail of model units</w:t>
      </w:r>
      <w:r>
        <w:tab/>
      </w:r>
      <w:r>
        <w:rPr>
          <w:rFonts w:hint="eastAsia"/>
          <w:lang w:val="en-US" w:eastAsia="zh-CN"/>
        </w:rPr>
        <w:t>(</w:t>
      </w:r>
      <w:r>
        <w:fldChar w:fldCharType="begin"/>
      </w:r>
      <w:r>
        <w:instrText xml:space="preserve"> PAGEREF _Toc28144 \h </w:instrText>
      </w:r>
      <w:r>
        <w:fldChar w:fldCharType="separate"/>
      </w:r>
      <w:r>
        <w:t>21</w:t>
      </w:r>
      <w:r>
        <w:fldChar w:fldCharType="end"/>
      </w:r>
      <w:r>
        <w:fldChar w:fldCharType="end"/>
      </w:r>
      <w:r>
        <w:rPr>
          <w:rFonts w:hint="eastAsia" w:cs="Times New Roman"/>
          <w:szCs w:val="21"/>
          <w:lang w:val="en-US" w:eastAsia="zh-CN"/>
        </w:rPr>
        <w:t>)</w:t>
      </w:r>
    </w:p>
    <w:p w14:paraId="7BDE6F80">
      <w:pPr>
        <w:pStyle w:val="20"/>
        <w:tabs>
          <w:tab w:val="right" w:leader="dot" w:pos="8306"/>
          <w:tab w:val="clear" w:pos="8296"/>
        </w:tabs>
      </w:pPr>
      <w:r>
        <w:fldChar w:fldCharType="begin"/>
      </w:r>
      <w:r>
        <w:instrText xml:space="preserve"> HYPERLINK \l _Toc26019 </w:instrText>
      </w:r>
      <w:r>
        <w:fldChar w:fldCharType="separate"/>
      </w:r>
      <w:r>
        <w:rPr>
          <w:rFonts w:hint="eastAsia"/>
          <w:lang w:val="en-US" w:eastAsia="zh-CN"/>
        </w:rPr>
        <w:t>Appendix B  Level of information detail of model units</w:t>
      </w:r>
      <w:r>
        <w:tab/>
      </w:r>
      <w:r>
        <w:rPr>
          <w:rFonts w:hint="eastAsia"/>
          <w:lang w:val="en-US" w:eastAsia="zh-CN"/>
        </w:rPr>
        <w:t>(</w:t>
      </w:r>
      <w:r>
        <w:fldChar w:fldCharType="begin"/>
      </w:r>
      <w:r>
        <w:instrText xml:space="preserve"> PAGEREF _Toc26019 \h </w:instrText>
      </w:r>
      <w:r>
        <w:fldChar w:fldCharType="separate"/>
      </w:r>
      <w:r>
        <w:t>28</w:t>
      </w:r>
      <w:r>
        <w:fldChar w:fldCharType="end"/>
      </w:r>
      <w:r>
        <w:fldChar w:fldCharType="end"/>
      </w:r>
      <w:r>
        <w:rPr>
          <w:rFonts w:hint="eastAsia" w:cs="Times New Roman"/>
          <w:szCs w:val="21"/>
          <w:lang w:val="en-US" w:eastAsia="zh-CN"/>
        </w:rPr>
        <w:t>)</w:t>
      </w:r>
    </w:p>
    <w:p w14:paraId="414F3138">
      <w:pPr>
        <w:pStyle w:val="20"/>
        <w:tabs>
          <w:tab w:val="right" w:leader="dot" w:pos="8306"/>
          <w:tab w:val="clear" w:pos="8296"/>
        </w:tabs>
      </w:pPr>
      <w:r>
        <w:fldChar w:fldCharType="begin"/>
      </w:r>
      <w:r>
        <w:instrText xml:space="preserve"> HYPERLINK \l _Toc2770 </w:instrText>
      </w:r>
      <w:r>
        <w:fldChar w:fldCharType="separate"/>
      </w:r>
      <w:r>
        <w:rPr>
          <w:rFonts w:hint="eastAsia"/>
          <w:lang w:val="en-US" w:eastAsia="zh-CN"/>
        </w:rPr>
        <w:t>Appendix C  Level of model definition</w:t>
      </w:r>
      <w:r>
        <w:tab/>
      </w:r>
      <w:r>
        <w:rPr>
          <w:rFonts w:hint="eastAsia"/>
          <w:lang w:val="en-US" w:eastAsia="zh-CN"/>
        </w:rPr>
        <w:t>(</w:t>
      </w:r>
      <w:r>
        <w:fldChar w:fldCharType="begin"/>
      </w:r>
      <w:r>
        <w:instrText xml:space="preserve"> PAGEREF _Toc2770 \h </w:instrText>
      </w:r>
      <w:r>
        <w:fldChar w:fldCharType="separate"/>
      </w:r>
      <w:r>
        <w:t>29</w:t>
      </w:r>
      <w:r>
        <w:fldChar w:fldCharType="end"/>
      </w:r>
      <w:r>
        <w:fldChar w:fldCharType="end"/>
      </w:r>
      <w:r>
        <w:rPr>
          <w:rFonts w:hint="eastAsia" w:cs="Times New Roman"/>
          <w:szCs w:val="21"/>
          <w:lang w:val="en-US" w:eastAsia="zh-CN"/>
        </w:rPr>
        <w:t>)</w:t>
      </w:r>
    </w:p>
    <w:p w14:paraId="5BDD15E7">
      <w:pPr>
        <w:pStyle w:val="20"/>
        <w:tabs>
          <w:tab w:val="right" w:leader="dot" w:pos="8306"/>
          <w:tab w:val="clear" w:pos="8296"/>
        </w:tabs>
      </w:pPr>
      <w:r>
        <w:fldChar w:fldCharType="begin"/>
      </w:r>
      <w:r>
        <w:instrText xml:space="preserve"> HYPERLINK \l _Toc29793 </w:instrText>
      </w:r>
      <w:r>
        <w:fldChar w:fldCharType="separate"/>
      </w:r>
      <w:r>
        <w:rPr>
          <w:rFonts w:hint="eastAsia"/>
          <w:lang w:val="en-US" w:eastAsia="zh-CN"/>
        </w:rPr>
        <w:t>Explanation of wording</w:t>
      </w:r>
      <w:r>
        <w:tab/>
      </w:r>
      <w:r>
        <w:rPr>
          <w:rFonts w:hint="eastAsia"/>
          <w:lang w:val="en-US" w:eastAsia="zh-CN"/>
        </w:rPr>
        <w:t>(</w:t>
      </w:r>
      <w:r>
        <w:fldChar w:fldCharType="begin"/>
      </w:r>
      <w:r>
        <w:instrText xml:space="preserve"> PAGEREF _Toc29793 \h </w:instrText>
      </w:r>
      <w:r>
        <w:fldChar w:fldCharType="separate"/>
      </w:r>
      <w:r>
        <w:t>31</w:t>
      </w:r>
      <w:r>
        <w:fldChar w:fldCharType="end"/>
      </w:r>
      <w:r>
        <w:fldChar w:fldCharType="end"/>
      </w:r>
      <w:r>
        <w:rPr>
          <w:rFonts w:hint="eastAsia" w:cs="Times New Roman"/>
          <w:szCs w:val="21"/>
          <w:lang w:val="en-US" w:eastAsia="zh-CN"/>
        </w:rPr>
        <w:t>)</w:t>
      </w:r>
    </w:p>
    <w:p w14:paraId="2D5D21F1">
      <w:pPr>
        <w:pStyle w:val="20"/>
        <w:tabs>
          <w:tab w:val="right" w:leader="dot" w:pos="8306"/>
          <w:tab w:val="clear" w:pos="8296"/>
        </w:tabs>
      </w:pPr>
      <w:r>
        <w:fldChar w:fldCharType="begin"/>
      </w:r>
      <w:r>
        <w:instrText xml:space="preserve"> HYPERLINK \l _Toc29330 </w:instrText>
      </w:r>
      <w:r>
        <w:fldChar w:fldCharType="separate"/>
      </w:r>
      <w:r>
        <w:rPr>
          <w:rFonts w:hint="eastAsia"/>
          <w:lang w:val="en-US" w:eastAsia="zh-CN"/>
        </w:rPr>
        <w:t>List of quoted standards</w:t>
      </w:r>
      <w:r>
        <w:tab/>
      </w:r>
      <w:r>
        <w:rPr>
          <w:rFonts w:hint="eastAsia"/>
          <w:lang w:val="en-US" w:eastAsia="zh-CN"/>
        </w:rPr>
        <w:t>(</w:t>
      </w:r>
      <w:r>
        <w:fldChar w:fldCharType="begin"/>
      </w:r>
      <w:r>
        <w:instrText xml:space="preserve"> PAGEREF _Toc29330 \h </w:instrText>
      </w:r>
      <w:r>
        <w:fldChar w:fldCharType="separate"/>
      </w:r>
      <w:r>
        <w:t>32</w:t>
      </w:r>
      <w:r>
        <w:fldChar w:fldCharType="end"/>
      </w:r>
      <w:r>
        <w:fldChar w:fldCharType="end"/>
      </w:r>
      <w:r>
        <w:rPr>
          <w:rFonts w:hint="eastAsia" w:cs="Times New Roman"/>
          <w:szCs w:val="21"/>
          <w:lang w:val="en-US" w:eastAsia="zh-CN"/>
        </w:rPr>
        <w:t>)</w:t>
      </w:r>
    </w:p>
    <w:p w14:paraId="13E66C9A">
      <w:pPr>
        <w:pStyle w:val="20"/>
        <w:tabs>
          <w:tab w:val="right" w:leader="dot" w:pos="8306"/>
          <w:tab w:val="clear" w:pos="8296"/>
        </w:tabs>
      </w:pPr>
      <w:r>
        <w:fldChar w:fldCharType="begin"/>
      </w:r>
      <w:r>
        <w:instrText xml:space="preserve"> HYPERLINK \l _Toc13528 </w:instrText>
      </w:r>
      <w:r>
        <w:fldChar w:fldCharType="separate"/>
      </w:r>
      <w:r>
        <w:rPr>
          <w:rFonts w:hint="eastAsia"/>
          <w:lang w:val="en-US" w:eastAsia="zh-CN"/>
        </w:rPr>
        <w:t>Addition：Explanation of provisions</w:t>
      </w:r>
      <w:r>
        <w:tab/>
      </w:r>
      <w:r>
        <w:rPr>
          <w:rFonts w:hint="eastAsia"/>
          <w:lang w:val="en-US" w:eastAsia="zh-CN"/>
        </w:rPr>
        <w:t>(</w:t>
      </w:r>
      <w:r>
        <w:fldChar w:fldCharType="begin"/>
      </w:r>
      <w:r>
        <w:instrText xml:space="preserve"> PAGEREF _Toc13528 \h </w:instrText>
      </w:r>
      <w:r>
        <w:fldChar w:fldCharType="separate"/>
      </w:r>
      <w:r>
        <w:t>33</w:t>
      </w:r>
      <w:r>
        <w:fldChar w:fldCharType="end"/>
      </w:r>
      <w:r>
        <w:fldChar w:fldCharType="end"/>
      </w:r>
      <w:r>
        <w:rPr>
          <w:rFonts w:hint="eastAsia" w:cs="Times New Roman"/>
          <w:szCs w:val="21"/>
          <w:lang w:val="en-US" w:eastAsia="zh-CN"/>
        </w:rPr>
        <w:t>)</w:t>
      </w:r>
    </w:p>
    <w:p w14:paraId="2460BB90">
      <w:pPr>
        <w:bidi w:val="0"/>
        <w:rPr>
          <w:rFonts w:ascii="Times New Roman" w:hAnsi="Times New Roman" w:cs="Times New Roman"/>
          <w:sz w:val="24"/>
          <w:szCs w:val="24"/>
        </w:rPr>
      </w:pPr>
      <w:r>
        <w:fldChar w:fldCharType="end"/>
      </w:r>
    </w:p>
    <w:p w14:paraId="53E469AA">
      <w:pPr>
        <w:bidi w:val="0"/>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A356022">
      <w:pPr>
        <w:pStyle w:val="2"/>
        <w:bidi w:val="0"/>
        <w:ind w:left="432" w:leftChars="0" w:hanging="432" w:firstLineChars="0"/>
      </w:pPr>
      <w:bookmarkStart w:id="31" w:name="_Toc5063"/>
      <w:bookmarkStart w:id="32" w:name="_Toc27583497"/>
      <w:bookmarkStart w:id="33" w:name="_Toc16711"/>
      <w:bookmarkStart w:id="34" w:name="_Toc26200193"/>
      <w:bookmarkStart w:id="35" w:name="_Toc20724"/>
      <w:bookmarkStart w:id="36" w:name="_Toc520357443"/>
      <w:bookmarkStart w:id="37" w:name="_Toc11106"/>
      <w:bookmarkStart w:id="38" w:name="_Toc13696"/>
      <w:r>
        <w:t>总  则</w:t>
      </w:r>
      <w:bookmarkEnd w:id="31"/>
      <w:bookmarkEnd w:id="32"/>
      <w:bookmarkEnd w:id="33"/>
      <w:bookmarkEnd w:id="34"/>
      <w:bookmarkEnd w:id="35"/>
      <w:bookmarkEnd w:id="36"/>
      <w:bookmarkEnd w:id="37"/>
      <w:bookmarkEnd w:id="38"/>
    </w:p>
    <w:p w14:paraId="540AC720">
      <w:pPr>
        <w:pStyle w:val="38"/>
        <w:numPr>
          <w:ilvl w:val="0"/>
          <w:numId w:val="4"/>
        </w:numPr>
        <w:bidi w:val="0"/>
      </w:pPr>
      <w:r>
        <w:rPr>
          <w:rFonts w:hint="eastAsia"/>
        </w:rPr>
        <w:t>本标准适用于核电建设项目的施工阶段，主要针对建筑信息模型在核岛厂房范围内机电安装施工过程中的应用。</w:t>
      </w:r>
      <w:r>
        <w:rPr>
          <w:rFonts w:hint="eastAsia"/>
          <w:lang w:val="en-US" w:eastAsia="zh-CN"/>
        </w:rPr>
        <w:t>旨在规范和引导核岛安装施工过程中的建筑信息模型应用，提高施工数字化应用水平，助力安装施工效率和效益的提升。</w:t>
      </w:r>
    </w:p>
    <w:p w14:paraId="17BDC0CE">
      <w:pPr>
        <w:pStyle w:val="38"/>
        <w:numPr>
          <w:ilvl w:val="0"/>
          <w:numId w:val="4"/>
        </w:numPr>
        <w:bidi w:val="0"/>
      </w:pPr>
      <w:r>
        <w:rPr>
          <w:rFonts w:hint="eastAsia"/>
          <w:lang w:val="en-US" w:eastAsia="zh-CN"/>
        </w:rPr>
        <w:t>本标准规定了核电站核岛安装工程建筑信息模型在深化设计、技术准备、预制加工、施工过程、竣工交付全过程应用的相关要求。</w:t>
      </w:r>
    </w:p>
    <w:p w14:paraId="39C517E9">
      <w:pPr>
        <w:pStyle w:val="38"/>
        <w:numPr>
          <w:ilvl w:val="0"/>
          <w:numId w:val="4"/>
        </w:numPr>
        <w:bidi w:val="0"/>
        <w:ind w:left="0" w:firstLine="0"/>
        <w:rPr>
          <w:rFonts w:hint="eastAsia"/>
        </w:rPr>
      </w:pPr>
      <w:r>
        <w:rPr>
          <w:rFonts w:hint="eastAsia"/>
          <w:lang w:val="en-US" w:eastAsia="zh-CN"/>
        </w:rPr>
        <w:t>施工阶段建筑信息模型的创建、使用和管理，</w:t>
      </w:r>
      <w:r>
        <w:rPr>
          <w:rFonts w:hint="eastAsia"/>
        </w:rPr>
        <w:t>除应符合本标准外，尚应符合国家</w:t>
      </w:r>
      <w:r>
        <w:rPr>
          <w:rFonts w:hint="eastAsia"/>
          <w:lang w:val="en-US" w:eastAsia="zh-CN"/>
        </w:rPr>
        <w:t>和</w:t>
      </w:r>
      <w:r>
        <w:rPr>
          <w:rFonts w:hint="eastAsia"/>
        </w:rPr>
        <w:t>行业现行有关标准的规定。</w:t>
      </w:r>
    </w:p>
    <w:p w14:paraId="446F851E">
      <w:pPr>
        <w:rPr>
          <w:rFonts w:cs="Times New Roman"/>
        </w:rPr>
      </w:pPr>
      <w:r>
        <w:rPr>
          <w:rFonts w:cs="Times New Roman"/>
        </w:rPr>
        <w:br w:type="page"/>
      </w:r>
    </w:p>
    <w:p w14:paraId="3BB5AE6B">
      <w:pPr>
        <w:pStyle w:val="2"/>
        <w:bidi w:val="0"/>
        <w:ind w:left="432" w:leftChars="0" w:hanging="432" w:firstLineChars="0"/>
      </w:pPr>
      <w:bookmarkStart w:id="39" w:name="_Toc32718"/>
      <w:bookmarkStart w:id="40" w:name="_Toc27583498"/>
      <w:bookmarkStart w:id="41" w:name="_Toc15923"/>
      <w:bookmarkStart w:id="42" w:name="_Toc26200194"/>
      <w:bookmarkStart w:id="43" w:name="_Toc26760"/>
      <w:bookmarkStart w:id="44" w:name="_Toc520357444"/>
      <w:bookmarkStart w:id="45" w:name="_Toc6358"/>
      <w:bookmarkStart w:id="46" w:name="_Toc3921"/>
      <w:r>
        <w:t>术  语</w:t>
      </w:r>
      <w:bookmarkEnd w:id="39"/>
      <w:bookmarkEnd w:id="40"/>
      <w:bookmarkEnd w:id="41"/>
      <w:bookmarkEnd w:id="42"/>
      <w:bookmarkEnd w:id="43"/>
      <w:bookmarkEnd w:id="44"/>
      <w:bookmarkEnd w:id="45"/>
      <w:bookmarkEnd w:id="46"/>
    </w:p>
    <w:p w14:paraId="558986AB">
      <w:pPr>
        <w:pStyle w:val="38"/>
        <w:numPr>
          <w:ilvl w:val="0"/>
          <w:numId w:val="5"/>
        </w:numPr>
        <w:bidi w:val="0"/>
        <w:ind w:left="0" w:leftChars="0" w:firstLine="0" w:firstLineChars="0"/>
        <w:rPr>
          <w:rFonts w:hint="eastAsia"/>
          <w:lang w:val="en-US" w:eastAsia="zh-CN"/>
        </w:rPr>
      </w:pPr>
      <w:r>
        <w:rPr>
          <w:rFonts w:hint="eastAsia"/>
          <w:lang w:val="en-US" w:eastAsia="zh-CN"/>
        </w:rPr>
        <w:t>施工建筑信息模型  BIM in construction</w:t>
      </w:r>
    </w:p>
    <w:p w14:paraId="05D73069">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施工阶段应用的建筑信息模型。简称施工BIM。</w:t>
      </w:r>
    </w:p>
    <w:p w14:paraId="1CC72F2C">
      <w:pPr>
        <w:pStyle w:val="38"/>
        <w:numPr>
          <w:ilvl w:val="0"/>
          <w:numId w:val="5"/>
        </w:numPr>
        <w:bidi w:val="0"/>
        <w:ind w:left="0" w:leftChars="0" w:firstLine="0" w:firstLineChars="0"/>
      </w:pPr>
      <w:r>
        <w:rPr>
          <w:rFonts w:hint="eastAsia"/>
        </w:rPr>
        <w:t>工程</w:t>
      </w:r>
      <w:r>
        <w:rPr>
          <w:rFonts w:hint="eastAsia"/>
          <w:lang w:val="en-US" w:eastAsia="zh-CN"/>
        </w:rPr>
        <w:t>对象  engineering object</w:t>
      </w:r>
    </w:p>
    <w:p w14:paraId="3C2D58A1">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构成建筑工程的建筑物、系统、设施、设备、零件等物理实体的集合。</w:t>
      </w:r>
    </w:p>
    <w:p w14:paraId="6215BB95">
      <w:pPr>
        <w:pStyle w:val="38"/>
        <w:numPr>
          <w:ilvl w:val="0"/>
          <w:numId w:val="5"/>
        </w:numPr>
        <w:bidi w:val="0"/>
        <w:ind w:left="0" w:leftChars="0" w:firstLine="0" w:firstLineChars="0"/>
        <w:rPr>
          <w:rFonts w:hint="eastAsia"/>
        </w:rPr>
      </w:pPr>
      <w:r>
        <w:rPr>
          <w:rFonts w:hint="eastAsia"/>
        </w:rPr>
        <w:t>模型单元</w:t>
      </w:r>
      <w:r>
        <w:rPr>
          <w:rFonts w:hint="eastAsia"/>
          <w:lang w:val="en-US" w:eastAsia="zh-CN"/>
        </w:rPr>
        <w:t xml:space="preserve">  model unit</w:t>
      </w:r>
    </w:p>
    <w:p w14:paraId="0920F707">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建筑信息模型中承载建筑信息的实体及其相关属性的集合，是工程对象的数字化表达。</w:t>
      </w:r>
    </w:p>
    <w:p w14:paraId="6D17FFE4">
      <w:pPr>
        <w:pStyle w:val="38"/>
        <w:numPr>
          <w:ilvl w:val="0"/>
          <w:numId w:val="5"/>
        </w:numPr>
        <w:bidi w:val="0"/>
        <w:ind w:left="0" w:leftChars="0" w:firstLine="0" w:firstLineChars="0"/>
        <w:rPr>
          <w:rFonts w:hint="eastAsia"/>
        </w:rPr>
      </w:pPr>
      <w:r>
        <w:rPr>
          <w:rFonts w:hint="eastAsia"/>
        </w:rPr>
        <w:t>模型精细度</w:t>
      </w:r>
      <w:r>
        <w:rPr>
          <w:rFonts w:hint="eastAsia"/>
          <w:lang w:val="en-US" w:eastAsia="zh-CN"/>
        </w:rPr>
        <w:t xml:space="preserve">  level of model definition</w:t>
      </w:r>
      <w:r>
        <w:rPr>
          <w:rFonts w:hint="eastAsia"/>
        </w:rPr>
        <w:t>（LOD）</w:t>
      </w:r>
    </w:p>
    <w:p w14:paraId="07AF759C">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rPr>
        <w:t>建筑信息模型中所容纳的模型单元丰富程度的衡量指标。</w:t>
      </w:r>
    </w:p>
    <w:p w14:paraId="0A84C008">
      <w:pPr>
        <w:pStyle w:val="38"/>
        <w:numPr>
          <w:ilvl w:val="0"/>
          <w:numId w:val="5"/>
        </w:numPr>
        <w:bidi w:val="0"/>
        <w:ind w:left="0" w:leftChars="0" w:firstLine="0" w:firstLineChars="0"/>
        <w:rPr>
          <w:rFonts w:hint="default"/>
          <w:lang w:val="en-US" w:eastAsia="zh-CN"/>
        </w:rPr>
      </w:pPr>
      <w:r>
        <w:rPr>
          <w:rFonts w:hint="eastAsia"/>
          <w:lang w:val="en-US" w:eastAsia="zh-CN"/>
        </w:rPr>
        <w:t>施工图设计模型  construction drawing design model</w:t>
      </w:r>
    </w:p>
    <w:p w14:paraId="2A56FE04">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由设计单位在施工图设计阶段形成的三维模型。</w:t>
      </w:r>
    </w:p>
    <w:p w14:paraId="49A79FA1">
      <w:pPr>
        <w:pStyle w:val="38"/>
        <w:numPr>
          <w:ilvl w:val="0"/>
          <w:numId w:val="5"/>
        </w:numPr>
        <w:bidi w:val="0"/>
        <w:ind w:left="0" w:leftChars="0" w:firstLine="0" w:firstLineChars="0"/>
        <w:rPr>
          <w:rFonts w:hint="eastAsia"/>
          <w:highlight w:val="none"/>
        </w:rPr>
      </w:pPr>
      <w:r>
        <w:rPr>
          <w:rFonts w:hint="eastAsia"/>
          <w:highlight w:val="none"/>
        </w:rPr>
        <w:t>几何信息</w:t>
      </w:r>
      <w:r>
        <w:rPr>
          <w:rFonts w:hint="eastAsia"/>
          <w:highlight w:val="none"/>
          <w:lang w:val="en-US" w:eastAsia="zh-CN"/>
        </w:rPr>
        <w:t xml:space="preserve">  geometric information</w:t>
      </w:r>
    </w:p>
    <w:p w14:paraId="50BF0B7E">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highlight w:val="none"/>
        </w:rPr>
      </w:pPr>
      <w:r>
        <w:rPr>
          <w:rFonts w:hint="eastAsia"/>
          <w:highlight w:val="none"/>
        </w:rPr>
        <w:t>建筑信息模型构件内部几何形态和外部空间位置数据的集合。</w:t>
      </w:r>
    </w:p>
    <w:p w14:paraId="7D019414">
      <w:pPr>
        <w:pStyle w:val="38"/>
        <w:numPr>
          <w:ilvl w:val="0"/>
          <w:numId w:val="5"/>
        </w:numPr>
        <w:bidi w:val="0"/>
        <w:ind w:left="0" w:leftChars="0" w:firstLine="0" w:firstLineChars="0"/>
        <w:rPr>
          <w:rFonts w:hint="eastAsia"/>
          <w:highlight w:val="none"/>
        </w:rPr>
      </w:pPr>
      <w:r>
        <w:rPr>
          <w:rFonts w:hint="eastAsia"/>
          <w:highlight w:val="none"/>
        </w:rPr>
        <w:t>非几何信息</w:t>
      </w:r>
      <w:r>
        <w:rPr>
          <w:rFonts w:hint="eastAsia"/>
          <w:highlight w:val="none"/>
          <w:lang w:val="en-US" w:eastAsia="zh-CN"/>
        </w:rPr>
        <w:t xml:space="preserve">  non-geometric information</w:t>
      </w:r>
    </w:p>
    <w:p w14:paraId="44A5309E">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highlight w:val="none"/>
        </w:rPr>
      </w:pPr>
      <w:r>
        <w:rPr>
          <w:rFonts w:hint="eastAsia"/>
          <w:highlight w:val="none"/>
        </w:rPr>
        <w:t>除建筑信息模型几何数据以外的所有数据的集合。</w:t>
      </w:r>
    </w:p>
    <w:p w14:paraId="24E74D53">
      <w:pPr>
        <w:pStyle w:val="38"/>
        <w:numPr>
          <w:ilvl w:val="0"/>
          <w:numId w:val="5"/>
        </w:numPr>
        <w:bidi w:val="0"/>
        <w:ind w:left="0" w:leftChars="0" w:firstLine="0" w:firstLineChars="0"/>
        <w:rPr>
          <w:rFonts w:hint="eastAsia"/>
          <w:lang w:val="en-US" w:eastAsia="zh-CN"/>
        </w:rPr>
      </w:pPr>
      <w:r>
        <w:rPr>
          <w:rFonts w:hint="eastAsia"/>
          <w:lang w:val="en-US" w:eastAsia="zh-CN"/>
        </w:rPr>
        <w:t>几何表达精度  level of geometric detail</w:t>
      </w:r>
    </w:p>
    <w:p w14:paraId="2DF033D5">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rPr>
        <w:t>模型单元在视觉呈现时，几何表达真实性和精确性的衡量指标。</w:t>
      </w:r>
    </w:p>
    <w:p w14:paraId="676CB442">
      <w:pPr>
        <w:pStyle w:val="38"/>
        <w:numPr>
          <w:ilvl w:val="0"/>
          <w:numId w:val="5"/>
        </w:numPr>
        <w:bidi w:val="0"/>
        <w:ind w:left="0" w:leftChars="0" w:firstLine="0" w:firstLineChars="0"/>
        <w:rPr>
          <w:rFonts w:hint="eastAsia"/>
          <w:lang w:val="en-US" w:eastAsia="zh-CN"/>
        </w:rPr>
      </w:pPr>
      <w:r>
        <w:rPr>
          <w:rFonts w:hint="eastAsia"/>
          <w:lang w:val="en-US" w:eastAsia="zh-CN"/>
        </w:rPr>
        <w:t>信息深度  level of information detail</w:t>
      </w:r>
    </w:p>
    <w:p w14:paraId="14CB6359">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rPr>
        <w:t>模型单元承载属性信息详细程度的衡量指标。</w:t>
      </w:r>
    </w:p>
    <w:p w14:paraId="1322E1FD">
      <w:pPr>
        <w:pStyle w:val="38"/>
        <w:numPr>
          <w:ilvl w:val="0"/>
          <w:numId w:val="5"/>
        </w:numPr>
        <w:bidi w:val="0"/>
        <w:ind w:left="0" w:leftChars="0" w:firstLine="0" w:firstLineChars="0"/>
        <w:rPr>
          <w:rFonts w:hint="default"/>
          <w:lang w:val="en-US" w:eastAsia="zh-CN"/>
        </w:rPr>
      </w:pPr>
      <w:r>
        <w:rPr>
          <w:rFonts w:hint="eastAsia"/>
          <w:lang w:val="en-US" w:eastAsia="zh-CN"/>
        </w:rPr>
        <w:t>输机  data inputting</w:t>
      </w:r>
    </w:p>
    <w:p w14:paraId="0BC88CD9">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将工程对象对应的身份信息、定位信息、系统信息、技术信息、生产信息等，输入至计算机的工程项目信息化施工管理平台的操作过程。</w:t>
      </w:r>
    </w:p>
    <w:p w14:paraId="60BE4EF6">
      <w:pPr>
        <w:pStyle w:val="38"/>
        <w:numPr>
          <w:ilvl w:val="0"/>
          <w:numId w:val="5"/>
        </w:numPr>
        <w:bidi w:val="0"/>
        <w:ind w:left="0" w:leftChars="0" w:firstLine="0" w:firstLineChars="0"/>
        <w:rPr>
          <w:rFonts w:hint="default"/>
          <w:lang w:val="en-US" w:eastAsia="zh-CN"/>
        </w:rPr>
      </w:pPr>
      <w:r>
        <w:rPr>
          <w:rFonts w:hint="default"/>
          <w:lang w:val="en-US" w:eastAsia="zh-CN"/>
        </w:rPr>
        <w:t>BIM协同管理平台</w:t>
      </w:r>
      <w:r>
        <w:rPr>
          <w:rFonts w:hint="eastAsia"/>
          <w:lang w:val="en-US" w:eastAsia="zh-CN"/>
        </w:rPr>
        <w:t xml:space="preserve">  BIM collaborative management platform</w:t>
      </w:r>
    </w:p>
    <w:p w14:paraId="7ACE4E2A">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利用物联网、云计算、大数据等技术，在计算机上建立的虚拟的项目协作环境。能够联接工程项目中的人员、数据和流程，为施工提供以BIM为核心的项目协同服务，实现项目施工过程管理的数据标准化、管控可视化和业务一体化。简称BIM平台。</w:t>
      </w:r>
    </w:p>
    <w:p w14:paraId="0A6E2C1E">
      <w:pPr>
        <w:pStyle w:val="38"/>
        <w:numPr>
          <w:ilvl w:val="0"/>
          <w:numId w:val="5"/>
        </w:numPr>
        <w:bidi w:val="0"/>
        <w:ind w:left="0" w:leftChars="0" w:firstLine="0" w:firstLineChars="0"/>
        <w:rPr>
          <w:rFonts w:hint="eastAsia"/>
          <w:lang w:val="en-US" w:eastAsia="zh-CN"/>
        </w:rPr>
      </w:pPr>
      <w:r>
        <w:rPr>
          <w:rFonts w:hint="eastAsia"/>
          <w:lang w:val="en-US" w:eastAsia="zh-CN"/>
        </w:rPr>
        <w:t>硬碰撞  hard clash</w:t>
      </w:r>
    </w:p>
    <w:p w14:paraId="0DCA1A2B">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指两个或多个物体在三维空间中直接发生实体交叉或重叠，导致无法按设计施工的物理冲突。</w:t>
      </w:r>
    </w:p>
    <w:p w14:paraId="0CE69EB3">
      <w:pPr>
        <w:pStyle w:val="38"/>
        <w:numPr>
          <w:ilvl w:val="0"/>
          <w:numId w:val="5"/>
        </w:numPr>
        <w:bidi w:val="0"/>
        <w:ind w:left="0" w:leftChars="0" w:firstLine="0" w:firstLineChars="0"/>
        <w:rPr>
          <w:rFonts w:hint="default"/>
          <w:lang w:val="en-US" w:eastAsia="zh-CN"/>
        </w:rPr>
      </w:pPr>
      <w:r>
        <w:rPr>
          <w:rFonts w:hint="eastAsia"/>
          <w:lang w:val="en-US" w:eastAsia="zh-CN"/>
        </w:rPr>
        <w:t>软碰撞  soft clash</w:t>
      </w:r>
    </w:p>
    <w:p w14:paraId="704C790C">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指物体之间未直接发生实体交叉或重叠，但因间距不满足规范、操作空间、功能性等要求而产生的冲突。</w:t>
      </w:r>
    </w:p>
    <w:p w14:paraId="4CC6DD98">
      <w:pPr>
        <w:pStyle w:val="38"/>
        <w:numPr>
          <w:ilvl w:val="0"/>
          <w:numId w:val="5"/>
        </w:numPr>
        <w:bidi w:val="0"/>
        <w:ind w:left="0" w:leftChars="0" w:firstLine="0" w:firstLineChars="0"/>
        <w:rPr>
          <w:rFonts w:hint="default"/>
          <w:lang w:val="en-US" w:eastAsia="zh-CN"/>
        </w:rPr>
      </w:pPr>
      <w:r>
        <w:rPr>
          <w:rFonts w:hint="default"/>
          <w:lang w:val="en-US" w:eastAsia="zh-CN"/>
        </w:rPr>
        <w:t>虚拟建造  virtual construction</w:t>
      </w:r>
    </w:p>
    <w:p w14:paraId="31959CB7">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是指利用数字技术，通过建筑信息模型（BIM）来可视化、模拟和优化建筑项目的施工过程。它是BIM的一种应用，通过建立虚拟的建筑模型和模拟施工过程，可以在实际施工之前进行预先规划、协调和优化。</w:t>
      </w:r>
    </w:p>
    <w:p w14:paraId="3AC33D36">
      <w:pPr>
        <w:pStyle w:val="38"/>
        <w:numPr>
          <w:ilvl w:val="0"/>
          <w:numId w:val="5"/>
        </w:numPr>
        <w:bidi w:val="0"/>
        <w:ind w:left="0" w:leftChars="0" w:firstLine="0" w:firstLineChars="0"/>
        <w:rPr>
          <w:rFonts w:hint="default"/>
          <w:highlight w:val="none"/>
          <w:lang w:val="en-US" w:eastAsia="zh-CN"/>
        </w:rPr>
      </w:pPr>
      <w:r>
        <w:rPr>
          <w:rFonts w:hint="eastAsia"/>
          <w:highlight w:val="none"/>
          <w:lang w:val="en-US" w:eastAsia="zh-CN"/>
        </w:rPr>
        <w:t>三维模型施工  3D model construction</w:t>
      </w:r>
    </w:p>
    <w:p w14:paraId="078A4D47">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highlight w:val="none"/>
          <w:lang w:val="en-US" w:eastAsia="zh-CN"/>
        </w:rPr>
      </w:pPr>
      <w:r>
        <w:rPr>
          <w:rFonts w:hint="eastAsia"/>
          <w:highlight w:val="none"/>
          <w:lang w:val="en-US" w:eastAsia="zh-CN"/>
        </w:rPr>
        <w:t>将施工所需的工程对象规格、尺寸、定位等信息反映至三维模型中，并利用三维模型开展施工作业的过程。</w:t>
      </w:r>
    </w:p>
    <w:p w14:paraId="68281C1D">
      <w:pPr>
        <w:pStyle w:val="38"/>
        <w:rPr>
          <w:rFonts w:hint="default"/>
          <w:lang w:val="en-US" w:eastAsia="zh-CN"/>
        </w:rPr>
      </w:pPr>
    </w:p>
    <w:p w14:paraId="7B633EEA">
      <w:pPr>
        <w:rPr>
          <w:rFonts w:hint="eastAsia"/>
          <w:lang w:eastAsia="zh-CN"/>
        </w:rPr>
      </w:pPr>
      <w:r>
        <w:rPr>
          <w:rFonts w:hint="eastAsia"/>
          <w:lang w:eastAsia="zh-CN"/>
        </w:rPr>
        <w:br w:type="page"/>
      </w:r>
    </w:p>
    <w:p w14:paraId="6EAB7F8D">
      <w:pPr>
        <w:pStyle w:val="2"/>
        <w:bidi w:val="0"/>
        <w:rPr>
          <w:rFonts w:hint="eastAsia"/>
          <w:lang w:val="en-US" w:eastAsia="zh-CN"/>
        </w:rPr>
      </w:pPr>
      <w:bookmarkStart w:id="47" w:name="_Toc14821"/>
      <w:bookmarkStart w:id="48" w:name="_Toc5553"/>
      <w:bookmarkStart w:id="49" w:name="_Toc26200196"/>
      <w:bookmarkStart w:id="50" w:name="_Toc425"/>
      <w:bookmarkStart w:id="51" w:name="_Toc4744"/>
      <w:bookmarkStart w:id="52" w:name="_Toc520357447"/>
      <w:bookmarkStart w:id="53" w:name="_Toc27583500"/>
      <w:bookmarkStart w:id="54" w:name="_Toc5285"/>
      <w:r>
        <w:t>基本规定</w:t>
      </w:r>
      <w:bookmarkEnd w:id="47"/>
      <w:bookmarkEnd w:id="48"/>
      <w:bookmarkEnd w:id="49"/>
      <w:bookmarkEnd w:id="50"/>
      <w:bookmarkEnd w:id="51"/>
      <w:bookmarkEnd w:id="52"/>
      <w:bookmarkEnd w:id="53"/>
      <w:bookmarkEnd w:id="54"/>
    </w:p>
    <w:p w14:paraId="1C6B58F4">
      <w:pPr>
        <w:pStyle w:val="3"/>
        <w:bidi w:val="0"/>
        <w:rPr>
          <w:rFonts w:hint="default"/>
          <w:lang w:val="en-US" w:eastAsia="zh-CN"/>
        </w:rPr>
      </w:pPr>
      <w:bookmarkStart w:id="55" w:name="_Toc11912"/>
      <w:bookmarkStart w:id="56" w:name="_Toc6189"/>
      <w:bookmarkStart w:id="57" w:name="_Toc30712"/>
      <w:bookmarkStart w:id="58" w:name="_Toc976"/>
      <w:r>
        <w:rPr>
          <w:rFonts w:hint="eastAsia"/>
          <w:lang w:val="en-US" w:eastAsia="zh-CN"/>
        </w:rPr>
        <w:t>一般规定</w:t>
      </w:r>
      <w:bookmarkEnd w:id="55"/>
      <w:bookmarkEnd w:id="56"/>
      <w:bookmarkEnd w:id="57"/>
      <w:bookmarkEnd w:id="58"/>
    </w:p>
    <w:p w14:paraId="0C5853AC">
      <w:pPr>
        <w:pStyle w:val="38"/>
        <w:numPr>
          <w:ilvl w:val="0"/>
          <w:numId w:val="6"/>
        </w:numPr>
        <w:bidi w:val="0"/>
        <w:ind w:left="0" w:leftChars="0" w:firstLine="0" w:firstLineChars="0"/>
        <w:rPr>
          <w:rFonts w:hint="eastAsia"/>
          <w:b w:val="0"/>
          <w:bCs w:val="0"/>
          <w:highlight w:val="none"/>
          <w:lang w:val="en-US" w:eastAsia="zh-CN"/>
        </w:rPr>
      </w:pPr>
      <w:r>
        <w:rPr>
          <w:rFonts w:hint="eastAsia"/>
          <w:b w:val="0"/>
          <w:bCs w:val="0"/>
          <w:highlight w:val="none"/>
          <w:lang w:val="en-US" w:eastAsia="zh-CN"/>
        </w:rPr>
        <w:t>施工BIM应用的目标和范围应根据项目特点、合同要求及工程项目相关方BIM应用水平等综合确定。</w:t>
      </w:r>
    </w:p>
    <w:p w14:paraId="05EBD6B0">
      <w:pPr>
        <w:pStyle w:val="38"/>
        <w:numPr>
          <w:ilvl w:val="0"/>
          <w:numId w:val="6"/>
        </w:numPr>
        <w:bidi w:val="0"/>
        <w:ind w:left="0" w:leftChars="0" w:firstLine="0" w:firstLineChars="0"/>
        <w:rPr>
          <w:rFonts w:hint="eastAsia"/>
          <w:highlight w:val="none"/>
          <w:lang w:val="en-US" w:eastAsia="zh-CN"/>
        </w:rPr>
      </w:pPr>
      <w:r>
        <w:rPr>
          <w:rFonts w:hint="eastAsia"/>
          <w:highlight w:val="none"/>
          <w:lang w:val="en-US" w:eastAsia="zh-CN"/>
        </w:rPr>
        <w:t>施工BIM应用宜覆盖包括工程项目深化设计、技术准备、预制加工、施工实施、竣工交付等阶段的施工全过程，也可根据工程项目实际需要应用于某些环节或任务。</w:t>
      </w:r>
    </w:p>
    <w:p w14:paraId="28089412">
      <w:pPr>
        <w:pStyle w:val="38"/>
        <w:numPr>
          <w:ilvl w:val="0"/>
          <w:numId w:val="6"/>
        </w:numPr>
        <w:bidi w:val="0"/>
        <w:ind w:left="0" w:leftChars="0" w:firstLine="0" w:firstLineChars="0"/>
        <w:rPr>
          <w:rFonts w:hint="eastAsia"/>
          <w:b w:val="0"/>
          <w:bCs w:val="0"/>
          <w:highlight w:val="none"/>
          <w:lang w:val="en-US" w:eastAsia="zh-CN"/>
        </w:rPr>
      </w:pPr>
      <w:r>
        <w:rPr>
          <w:rFonts w:hint="eastAsia"/>
          <w:b w:val="0"/>
          <w:bCs w:val="0"/>
          <w:highlight w:val="none"/>
          <w:lang w:val="en-US" w:eastAsia="zh-CN"/>
        </w:rPr>
        <w:t>施工BIM应用应事先制定施工BIM应用策划，并遵照策划进行BIM应用的过程管理。</w:t>
      </w:r>
    </w:p>
    <w:p w14:paraId="611C1C41">
      <w:pPr>
        <w:pStyle w:val="38"/>
        <w:numPr>
          <w:ilvl w:val="0"/>
          <w:numId w:val="6"/>
        </w:numPr>
        <w:bidi w:val="0"/>
        <w:ind w:left="0" w:leftChars="0" w:firstLine="0" w:firstLineChars="0"/>
        <w:rPr>
          <w:rFonts w:hint="eastAsia"/>
          <w:b w:val="0"/>
          <w:bCs w:val="0"/>
          <w:highlight w:val="none"/>
          <w:lang w:val="en-US" w:eastAsia="zh-CN"/>
        </w:rPr>
      </w:pPr>
      <w:r>
        <w:rPr>
          <w:rFonts w:hint="eastAsia"/>
          <w:b w:val="0"/>
          <w:bCs w:val="0"/>
          <w:highlight w:val="none"/>
          <w:lang w:val="en-US" w:eastAsia="zh-CN"/>
        </w:rPr>
        <w:t>工程项目相关方在施工BIM应用中应采取协议约定等措施确定施工模型数据共享和协同工作的方式。</w:t>
      </w:r>
    </w:p>
    <w:p w14:paraId="752F7085">
      <w:pPr>
        <w:pStyle w:val="38"/>
        <w:numPr>
          <w:ilvl w:val="0"/>
          <w:numId w:val="6"/>
        </w:numPr>
        <w:bidi w:val="0"/>
        <w:ind w:left="0" w:leftChars="0" w:firstLine="0" w:firstLineChars="0"/>
        <w:rPr>
          <w:rFonts w:hint="eastAsia"/>
          <w:b w:val="0"/>
          <w:bCs w:val="0"/>
          <w:highlight w:val="none"/>
          <w:lang w:val="en-US" w:eastAsia="zh-CN"/>
        </w:rPr>
      </w:pPr>
      <w:r>
        <w:rPr>
          <w:rFonts w:hint="eastAsia"/>
          <w:b w:val="0"/>
          <w:bCs w:val="0"/>
          <w:highlight w:val="none"/>
          <w:lang w:val="en-US" w:eastAsia="zh-CN"/>
        </w:rPr>
        <w:t>工程项目相关方应根据BIM应用目标和范围选用具有相应功能的BIM软件。</w:t>
      </w:r>
    </w:p>
    <w:p w14:paraId="42AF6262">
      <w:pPr>
        <w:pStyle w:val="38"/>
        <w:numPr>
          <w:ilvl w:val="0"/>
          <w:numId w:val="6"/>
        </w:numPr>
        <w:bidi w:val="0"/>
        <w:ind w:left="0" w:leftChars="0" w:firstLine="0" w:firstLineChars="0"/>
        <w:rPr>
          <w:rFonts w:hint="eastAsia"/>
          <w:b w:val="0"/>
          <w:bCs w:val="0"/>
          <w:highlight w:val="none"/>
          <w:lang w:val="en-US" w:eastAsia="zh-CN"/>
        </w:rPr>
      </w:pPr>
      <w:r>
        <w:rPr>
          <w:rFonts w:hint="eastAsia"/>
          <w:b w:val="0"/>
          <w:bCs w:val="0"/>
          <w:highlight w:val="none"/>
          <w:lang w:val="en-US" w:eastAsia="zh-CN"/>
        </w:rPr>
        <w:t>BIM软件应具备下列基本功能：</w:t>
      </w:r>
    </w:p>
    <w:p w14:paraId="57EF5180">
      <w:pPr>
        <w:pStyle w:val="38"/>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模型输入、输出；</w:t>
      </w:r>
    </w:p>
    <w:p w14:paraId="7B7D7C7E">
      <w:pPr>
        <w:pStyle w:val="38"/>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模型浏览或漫游；</w:t>
      </w:r>
    </w:p>
    <w:p w14:paraId="250C06C4">
      <w:pPr>
        <w:pStyle w:val="38"/>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模型信息处理；</w:t>
      </w:r>
    </w:p>
    <w:p w14:paraId="752B5BB9">
      <w:pPr>
        <w:pStyle w:val="38"/>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相应的专业应用；</w:t>
      </w:r>
    </w:p>
    <w:p w14:paraId="71A0C247">
      <w:pPr>
        <w:pStyle w:val="38"/>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应用成果处理和输出；</w:t>
      </w:r>
    </w:p>
    <w:p w14:paraId="0B1851A9">
      <w:pPr>
        <w:pStyle w:val="38"/>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支持开放的数据交换标准。</w:t>
      </w:r>
    </w:p>
    <w:p w14:paraId="5B612FBC">
      <w:pPr>
        <w:pStyle w:val="38"/>
        <w:numPr>
          <w:ilvl w:val="0"/>
          <w:numId w:val="6"/>
        </w:numPr>
        <w:bidi w:val="0"/>
        <w:ind w:left="0" w:leftChars="0" w:firstLine="0" w:firstLineChars="0"/>
        <w:rPr>
          <w:rFonts w:hint="eastAsia"/>
          <w:lang w:val="en-US" w:eastAsia="zh-CN"/>
        </w:rPr>
      </w:pPr>
      <w:r>
        <w:rPr>
          <w:rFonts w:hint="eastAsia"/>
          <w:lang w:val="en-US" w:eastAsia="zh-CN"/>
        </w:rPr>
        <w:t>BIM软件宜具有与工程项目信息化施工管理平台集成或融合的能力。</w:t>
      </w:r>
    </w:p>
    <w:p w14:paraId="0E68A4FB">
      <w:pPr>
        <w:pStyle w:val="3"/>
        <w:bidi w:val="0"/>
        <w:rPr>
          <w:rFonts w:hint="eastAsia"/>
        </w:rPr>
      </w:pPr>
      <w:bookmarkStart w:id="59" w:name="_Toc8874"/>
      <w:bookmarkStart w:id="60" w:name="_Toc16272"/>
      <w:bookmarkStart w:id="61" w:name="_Toc15056"/>
      <w:bookmarkStart w:id="62" w:name="_Toc4180"/>
      <w:r>
        <w:rPr>
          <w:rFonts w:hint="eastAsia"/>
        </w:rPr>
        <w:t>施工BIM</w:t>
      </w:r>
      <w:r>
        <w:rPr>
          <w:rFonts w:hint="eastAsia"/>
          <w:lang w:val="en-US" w:eastAsia="zh-CN"/>
        </w:rPr>
        <w:t>应用</w:t>
      </w:r>
      <w:r>
        <w:rPr>
          <w:rFonts w:hint="eastAsia"/>
        </w:rPr>
        <w:t>策划</w:t>
      </w:r>
      <w:bookmarkEnd w:id="59"/>
      <w:bookmarkEnd w:id="60"/>
      <w:bookmarkEnd w:id="61"/>
      <w:bookmarkEnd w:id="62"/>
    </w:p>
    <w:p w14:paraId="10C0BAE7">
      <w:pPr>
        <w:pStyle w:val="38"/>
        <w:numPr>
          <w:ilvl w:val="0"/>
          <w:numId w:val="8"/>
        </w:numPr>
        <w:bidi w:val="0"/>
        <w:ind w:left="0" w:leftChars="0" w:firstLine="0" w:firstLineChars="0"/>
        <w:rPr>
          <w:rFonts w:hint="eastAsia"/>
          <w:lang w:val="en-US" w:eastAsia="zh-CN"/>
        </w:rPr>
      </w:pPr>
      <w:r>
        <w:rPr>
          <w:rFonts w:hint="eastAsia"/>
          <w:lang w:val="en-US" w:eastAsia="zh-CN"/>
        </w:rPr>
        <w:t>工程项目的施工BIM应用应与项目管理需求协调一致。</w:t>
      </w:r>
    </w:p>
    <w:p w14:paraId="40387AAC">
      <w:pPr>
        <w:pStyle w:val="38"/>
        <w:numPr>
          <w:ilvl w:val="0"/>
          <w:numId w:val="8"/>
        </w:numPr>
        <w:bidi w:val="0"/>
        <w:ind w:left="0" w:leftChars="0" w:firstLine="0" w:firstLineChars="0"/>
        <w:rPr>
          <w:rFonts w:hint="eastAsia"/>
          <w:b w:val="0"/>
          <w:bCs w:val="0"/>
          <w:lang w:val="en-US" w:eastAsia="zh-CN"/>
        </w:rPr>
      </w:pPr>
      <w:r>
        <w:rPr>
          <w:rFonts w:hint="eastAsia"/>
          <w:b w:val="0"/>
          <w:bCs w:val="0"/>
          <w:lang w:val="en-US" w:eastAsia="zh-CN"/>
        </w:rPr>
        <w:t>施工BIM应用策划应由施工单位编制，宜明确下列内容：</w:t>
      </w:r>
    </w:p>
    <w:p w14:paraId="7E85FB12">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BIM应用目的和目标；</w:t>
      </w:r>
    </w:p>
    <w:p w14:paraId="20F9E083">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BIM应用范围和内容；</w:t>
      </w:r>
    </w:p>
    <w:p w14:paraId="3F90BF4B">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人员组织架构和相应职责；</w:t>
      </w:r>
    </w:p>
    <w:p w14:paraId="6596E670">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软硬件配置；</w:t>
      </w:r>
    </w:p>
    <w:p w14:paraId="0209708F">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BIM应用流程；</w:t>
      </w:r>
    </w:p>
    <w:p w14:paraId="45321BF7">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模型创建、使用和管理要求；</w:t>
      </w:r>
    </w:p>
    <w:p w14:paraId="32CA1973">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信息交换要求；</w:t>
      </w:r>
    </w:p>
    <w:p w14:paraId="564706DA">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模型质量控制和信息安全要求；</w:t>
      </w:r>
    </w:p>
    <w:p w14:paraId="1340EFA1">
      <w:pPr>
        <w:pStyle w:val="38"/>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进度计划和应用成果要求等。</w:t>
      </w:r>
    </w:p>
    <w:p w14:paraId="39BB145E">
      <w:pPr>
        <w:pStyle w:val="38"/>
        <w:numPr>
          <w:ilvl w:val="0"/>
          <w:numId w:val="8"/>
        </w:numPr>
        <w:bidi w:val="0"/>
        <w:ind w:left="0" w:leftChars="0" w:firstLine="0" w:firstLineChars="0"/>
        <w:rPr>
          <w:rFonts w:hint="default"/>
          <w:lang w:val="en-US" w:eastAsia="zh-CN"/>
        </w:rPr>
      </w:pPr>
      <w:r>
        <w:rPr>
          <w:rFonts w:hint="eastAsia"/>
          <w:lang w:val="en-US" w:eastAsia="zh-CN"/>
        </w:rPr>
        <w:t>工程</w:t>
      </w:r>
      <w:r>
        <w:rPr>
          <w:rFonts w:hint="default"/>
          <w:lang w:val="en-US" w:eastAsia="zh-CN"/>
        </w:rPr>
        <w:t>项目施工BIM</w:t>
      </w:r>
      <w:r>
        <w:rPr>
          <w:rFonts w:hint="eastAsia"/>
          <w:lang w:val="en-US" w:eastAsia="zh-CN"/>
        </w:rPr>
        <w:t>人员</w:t>
      </w:r>
      <w:r>
        <w:rPr>
          <w:rFonts w:hint="default"/>
          <w:lang w:val="en-US" w:eastAsia="zh-CN"/>
        </w:rPr>
        <w:t>应包括BIM管理人员</w:t>
      </w:r>
      <w:r>
        <w:rPr>
          <w:rFonts w:hint="eastAsia"/>
          <w:lang w:val="en-US" w:eastAsia="zh-CN"/>
        </w:rPr>
        <w:t>和</w:t>
      </w:r>
      <w:r>
        <w:rPr>
          <w:rFonts w:hint="default"/>
          <w:lang w:val="en-US" w:eastAsia="zh-CN"/>
        </w:rPr>
        <w:t>专业BIM工程师。</w:t>
      </w:r>
    </w:p>
    <w:p w14:paraId="72EAC218">
      <w:pPr>
        <w:pStyle w:val="38"/>
        <w:numPr>
          <w:ilvl w:val="0"/>
          <w:numId w:val="8"/>
        </w:numPr>
        <w:bidi w:val="0"/>
        <w:ind w:left="0" w:leftChars="0" w:firstLine="0" w:firstLineChars="0"/>
        <w:rPr>
          <w:rFonts w:hint="default"/>
          <w:lang w:val="en-US" w:eastAsia="zh-CN"/>
        </w:rPr>
      </w:pPr>
      <w:r>
        <w:rPr>
          <w:rFonts w:hint="eastAsia"/>
          <w:lang w:val="en-US" w:eastAsia="zh-CN"/>
        </w:rPr>
        <w:t>BIM管理人员应负责对施工BIM应用进行规划、监督和指导，专业BIM工程师应负责施工BIM应用的具体实施。</w:t>
      </w:r>
    </w:p>
    <w:p w14:paraId="49AA835E">
      <w:pPr>
        <w:pStyle w:val="38"/>
        <w:numPr>
          <w:ilvl w:val="0"/>
          <w:numId w:val="8"/>
        </w:numPr>
        <w:bidi w:val="0"/>
        <w:ind w:left="0" w:leftChars="0" w:firstLine="0" w:firstLineChars="0"/>
        <w:rPr>
          <w:rFonts w:hint="eastAsia"/>
          <w:highlight w:val="none"/>
          <w:lang w:val="en-US" w:eastAsia="zh-CN"/>
        </w:rPr>
      </w:pPr>
      <w:r>
        <w:rPr>
          <w:rFonts w:hint="eastAsia"/>
          <w:highlight w:val="none"/>
          <w:lang w:val="en-US" w:eastAsia="zh-CN"/>
        </w:rPr>
        <w:t>除满足本标准3.1.6、3.1.7条的规定外，工程项目应根据施工BIM应用目标和内容，选择合适的施工BIM软件，并应符合下列规定：</w:t>
      </w:r>
    </w:p>
    <w:p w14:paraId="0A10DF30">
      <w:pPr>
        <w:pStyle w:val="38"/>
        <w:keepNext w:val="0"/>
        <w:keepLines w:val="0"/>
        <w:pageBreakBefore w:val="0"/>
        <w:widowControl w:val="0"/>
        <w:numPr>
          <w:ilvl w:val="0"/>
          <w:numId w:val="10"/>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模型创建软件应能够匹配核电厂的对象分解结构，能够准确表达工程对象的编码；</w:t>
      </w:r>
    </w:p>
    <w:p w14:paraId="4FD4BBD8">
      <w:pPr>
        <w:pStyle w:val="38"/>
        <w:keepNext w:val="0"/>
        <w:keepLines w:val="0"/>
        <w:pageBreakBefore w:val="0"/>
        <w:widowControl w:val="0"/>
        <w:numPr>
          <w:ilvl w:val="0"/>
          <w:numId w:val="10"/>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施工模拟软件应具备依据施工方案对三维模型进行移动、旋转、缩放、配色、透明、贴图等操作的功能，能够实现施工模拟图片、视频等可视化成果的输出；</w:t>
      </w:r>
    </w:p>
    <w:p w14:paraId="20F33694">
      <w:pPr>
        <w:pStyle w:val="38"/>
        <w:keepNext w:val="0"/>
        <w:keepLines w:val="0"/>
        <w:pageBreakBefore w:val="0"/>
        <w:widowControl w:val="0"/>
        <w:numPr>
          <w:ilvl w:val="0"/>
          <w:numId w:val="10"/>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施工管理软件应能够轻量化显示三维模型，具备施工数据与模型关联、可视化浏览、综合查询等功能，能够实现多人员权限分级的协同管理。</w:t>
      </w:r>
    </w:p>
    <w:p w14:paraId="301EAAFB">
      <w:pPr>
        <w:pStyle w:val="38"/>
        <w:numPr>
          <w:ilvl w:val="0"/>
          <w:numId w:val="8"/>
        </w:numPr>
        <w:bidi w:val="0"/>
        <w:ind w:left="0" w:leftChars="0" w:firstLine="0" w:firstLineChars="0"/>
        <w:rPr>
          <w:rFonts w:hint="eastAsia"/>
          <w:lang w:val="en-US" w:eastAsia="zh-CN"/>
        </w:rPr>
      </w:pPr>
      <w:r>
        <w:rPr>
          <w:rFonts w:hint="eastAsia"/>
          <w:lang w:val="en-US" w:eastAsia="zh-CN"/>
        </w:rPr>
        <w:t>工程项目应综合考虑施工BIM应用目标和内容，选择合适的软件版本，并应满足工程项目相关方信息共享的要求。</w:t>
      </w:r>
    </w:p>
    <w:p w14:paraId="6FD654FF">
      <w:pPr>
        <w:pStyle w:val="38"/>
        <w:numPr>
          <w:ilvl w:val="0"/>
          <w:numId w:val="8"/>
        </w:numPr>
        <w:bidi w:val="0"/>
        <w:ind w:left="0" w:leftChars="0" w:firstLine="0" w:firstLineChars="0"/>
        <w:rPr>
          <w:rFonts w:hint="eastAsia"/>
          <w:lang w:val="en-US" w:eastAsia="zh-CN"/>
        </w:rPr>
      </w:pPr>
      <w:r>
        <w:rPr>
          <w:rFonts w:hint="eastAsia"/>
          <w:lang w:val="en-US" w:eastAsia="zh-CN"/>
        </w:rPr>
        <w:t>根据工程项目施工BIM应用目标和内容，可自定义开发相应的BIM软件或插件。</w:t>
      </w:r>
    </w:p>
    <w:p w14:paraId="52F2D5C3">
      <w:pPr>
        <w:pStyle w:val="38"/>
        <w:numPr>
          <w:ilvl w:val="0"/>
          <w:numId w:val="8"/>
        </w:numPr>
        <w:bidi w:val="0"/>
        <w:ind w:left="0" w:leftChars="0" w:firstLine="0" w:firstLineChars="0"/>
        <w:rPr>
          <w:rFonts w:hint="default"/>
          <w:lang w:val="en-US" w:eastAsia="zh-CN"/>
        </w:rPr>
      </w:pPr>
      <w:r>
        <w:rPr>
          <w:rFonts w:hint="eastAsia"/>
          <w:lang w:val="en-US" w:eastAsia="zh-CN"/>
        </w:rPr>
        <w:t>工程项目应综合考虑施工BIM应用内容和软件配置情况，以及项目体量大小、项目复杂程度、BIM工作方式等，确定施工BIM应用硬件配置。</w:t>
      </w:r>
    </w:p>
    <w:p w14:paraId="26C0A2E5">
      <w:pPr>
        <w:pStyle w:val="38"/>
        <w:numPr>
          <w:ilvl w:val="0"/>
          <w:numId w:val="8"/>
        </w:numPr>
        <w:bidi w:val="0"/>
        <w:ind w:left="0" w:leftChars="0" w:firstLine="0" w:firstLineChars="0"/>
        <w:rPr>
          <w:rFonts w:hint="eastAsia"/>
          <w:b w:val="0"/>
          <w:bCs w:val="0"/>
          <w:lang w:val="en-US" w:eastAsia="zh-CN"/>
        </w:rPr>
      </w:pPr>
      <w:bookmarkStart w:id="63" w:name="_Toc21471"/>
      <w:r>
        <w:rPr>
          <w:rFonts w:hint="eastAsia"/>
          <w:b w:val="0"/>
          <w:bCs w:val="0"/>
          <w:lang w:val="en-US" w:eastAsia="zh-CN"/>
        </w:rPr>
        <w:t>BIM应用流程编制宜分为整体和分项两个层次。整体流程应描述不同BIM应用之间的逻辑关系、信息交换要求及责任主体等。分项流程应描述BIM应用的详细工作顺序、参考资料、信息交换要求及每项任务的责任主体等。</w:t>
      </w:r>
    </w:p>
    <w:p w14:paraId="1BBA010A">
      <w:pPr>
        <w:pStyle w:val="38"/>
        <w:numPr>
          <w:ilvl w:val="0"/>
          <w:numId w:val="8"/>
        </w:numPr>
        <w:bidi w:val="0"/>
        <w:ind w:left="0" w:leftChars="0" w:firstLine="0" w:firstLineChars="0"/>
        <w:rPr>
          <w:rFonts w:hint="eastAsia"/>
          <w:highlight w:val="none"/>
          <w:lang w:val="en-US" w:eastAsia="zh-CN"/>
        </w:rPr>
      </w:pPr>
      <w:r>
        <w:rPr>
          <w:rFonts w:hint="eastAsia"/>
          <w:highlight w:val="none"/>
          <w:lang w:val="en-US" w:eastAsia="zh-CN"/>
        </w:rPr>
        <w:t>施工BIM应用策划应根据项目的进展不断更新、调整。</w:t>
      </w:r>
    </w:p>
    <w:p w14:paraId="521F54F6">
      <w:pPr>
        <w:pStyle w:val="3"/>
        <w:bidi w:val="0"/>
        <w:rPr>
          <w:rFonts w:hint="eastAsia"/>
        </w:rPr>
      </w:pPr>
      <w:bookmarkStart w:id="64" w:name="_Toc31147"/>
      <w:bookmarkStart w:id="65" w:name="_Toc22978"/>
      <w:bookmarkStart w:id="66" w:name="_Toc32296"/>
      <w:r>
        <w:rPr>
          <w:rFonts w:hint="eastAsia"/>
        </w:rPr>
        <w:t>施工BIM</w:t>
      </w:r>
      <w:r>
        <w:rPr>
          <w:rFonts w:hint="eastAsia"/>
          <w:lang w:val="en-US" w:eastAsia="zh-CN"/>
        </w:rPr>
        <w:t>应用</w:t>
      </w:r>
      <w:r>
        <w:rPr>
          <w:rFonts w:hint="eastAsia"/>
        </w:rPr>
        <w:t>管理</w:t>
      </w:r>
      <w:bookmarkEnd w:id="63"/>
      <w:bookmarkEnd w:id="64"/>
      <w:bookmarkEnd w:id="65"/>
      <w:bookmarkEnd w:id="66"/>
    </w:p>
    <w:p w14:paraId="27D5C2A3">
      <w:pPr>
        <w:pStyle w:val="38"/>
        <w:numPr>
          <w:ilvl w:val="0"/>
          <w:numId w:val="11"/>
        </w:numPr>
        <w:bidi w:val="0"/>
        <w:ind w:left="0" w:leftChars="0" w:firstLine="0" w:firstLineChars="0"/>
        <w:rPr>
          <w:rFonts w:hint="eastAsia"/>
          <w:highlight w:val="none"/>
          <w:lang w:val="en-US" w:eastAsia="zh-CN"/>
        </w:rPr>
      </w:pPr>
      <w:r>
        <w:rPr>
          <w:rFonts w:hint="eastAsia"/>
          <w:highlight w:val="none"/>
          <w:lang w:val="en-US" w:eastAsia="zh-CN"/>
        </w:rPr>
        <w:t>工程项目相关方应明确施工BIM应用的工作内容、技术要求、进度要求、工作职责等。</w:t>
      </w:r>
    </w:p>
    <w:p w14:paraId="23DA0CBE">
      <w:pPr>
        <w:pStyle w:val="38"/>
        <w:numPr>
          <w:ilvl w:val="0"/>
          <w:numId w:val="11"/>
        </w:numPr>
        <w:bidi w:val="0"/>
        <w:ind w:left="0" w:leftChars="0" w:firstLine="0" w:firstLineChars="0"/>
        <w:rPr>
          <w:rFonts w:hint="eastAsia"/>
          <w:highlight w:val="none"/>
          <w:lang w:val="en-US" w:eastAsia="zh-CN"/>
        </w:rPr>
      </w:pPr>
      <w:r>
        <w:rPr>
          <w:rFonts w:hint="eastAsia"/>
          <w:highlight w:val="none"/>
          <w:lang w:val="en-US" w:eastAsia="zh-CN"/>
        </w:rPr>
        <w:t>施工BIM应用管理应能够满足不同施工参与方对施工BIM数据共享与应用的要求。</w:t>
      </w:r>
    </w:p>
    <w:p w14:paraId="6BC597BF">
      <w:pPr>
        <w:pStyle w:val="38"/>
        <w:numPr>
          <w:ilvl w:val="0"/>
          <w:numId w:val="11"/>
        </w:numPr>
        <w:bidi w:val="0"/>
        <w:ind w:left="0" w:leftChars="0" w:firstLine="0" w:firstLineChars="0"/>
        <w:rPr>
          <w:rFonts w:hint="default"/>
          <w:lang w:val="en-US" w:eastAsia="zh-CN"/>
        </w:rPr>
      </w:pPr>
      <w:r>
        <w:rPr>
          <w:rFonts w:hint="eastAsia"/>
          <w:lang w:val="en-US" w:eastAsia="zh-CN"/>
        </w:rPr>
        <w:t>施工BIM应用管理应建立项目工作机制，实施BIM应用过程管理。</w:t>
      </w:r>
    </w:p>
    <w:p w14:paraId="33E6656E">
      <w:pPr>
        <w:pStyle w:val="38"/>
        <w:numPr>
          <w:ilvl w:val="0"/>
          <w:numId w:val="11"/>
        </w:numPr>
        <w:bidi w:val="0"/>
        <w:ind w:left="0" w:leftChars="0" w:firstLine="0" w:firstLineChars="0"/>
        <w:rPr>
          <w:rFonts w:hint="eastAsia"/>
          <w:lang w:val="en-US" w:eastAsia="zh-CN"/>
        </w:rPr>
      </w:pPr>
      <w:r>
        <w:rPr>
          <w:rFonts w:hint="eastAsia"/>
          <w:lang w:val="en-US" w:eastAsia="zh-CN"/>
        </w:rPr>
        <w:t>施工BIM应用管理应制定模型质量控制措施，模型质量控制措施应包括下列内容：</w:t>
      </w:r>
    </w:p>
    <w:p w14:paraId="50DE300E">
      <w:pPr>
        <w:pStyle w:val="38"/>
        <w:keepNext w:val="0"/>
        <w:keepLines w:val="0"/>
        <w:pageBreakBefore w:val="0"/>
        <w:widowControl w:val="0"/>
        <w:numPr>
          <w:ilvl w:val="0"/>
          <w:numId w:val="12"/>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模型与工程项目的符合性检查；</w:t>
      </w:r>
    </w:p>
    <w:p w14:paraId="0EA7A91D">
      <w:pPr>
        <w:pStyle w:val="38"/>
        <w:keepNext w:val="0"/>
        <w:keepLines w:val="0"/>
        <w:pageBreakBefore w:val="0"/>
        <w:widowControl w:val="0"/>
        <w:numPr>
          <w:ilvl w:val="0"/>
          <w:numId w:val="12"/>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不同模型单元之间的相互关系检查；</w:t>
      </w:r>
    </w:p>
    <w:p w14:paraId="6277CBE4">
      <w:pPr>
        <w:pStyle w:val="38"/>
        <w:keepNext w:val="0"/>
        <w:keepLines w:val="0"/>
        <w:pageBreakBefore w:val="0"/>
        <w:widowControl w:val="0"/>
        <w:numPr>
          <w:ilvl w:val="0"/>
          <w:numId w:val="12"/>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模型与相应标准规定的符合性检查；</w:t>
      </w:r>
    </w:p>
    <w:p w14:paraId="509CDCED">
      <w:pPr>
        <w:pStyle w:val="38"/>
        <w:keepNext w:val="0"/>
        <w:keepLines w:val="0"/>
        <w:pageBreakBefore w:val="0"/>
        <w:widowControl w:val="0"/>
        <w:numPr>
          <w:ilvl w:val="0"/>
          <w:numId w:val="12"/>
        </w:numPr>
        <w:kinsoku/>
        <w:wordWrap/>
        <w:overflowPunct/>
        <w:topLinePunct w:val="0"/>
        <w:autoSpaceDE/>
        <w:autoSpaceDN/>
        <w:bidi w:val="0"/>
        <w:adjustRightInd/>
        <w:snapToGrid/>
        <w:ind w:left="0" w:leftChars="0" w:firstLine="480" w:firstLineChars="200"/>
        <w:textAlignment w:val="auto"/>
        <w:rPr>
          <w:rFonts w:hint="eastAsia"/>
          <w:b w:val="0"/>
          <w:bCs w:val="0"/>
          <w:lang w:val="en-US" w:eastAsia="zh-CN"/>
        </w:rPr>
      </w:pPr>
      <w:r>
        <w:rPr>
          <w:rFonts w:hint="eastAsia"/>
          <w:b w:val="0"/>
          <w:bCs w:val="0"/>
          <w:lang w:val="en-US" w:eastAsia="zh-CN"/>
        </w:rPr>
        <w:t>模型信息的准确性和完整性检查。</w:t>
      </w:r>
    </w:p>
    <w:p w14:paraId="22BF2B21">
      <w:pPr>
        <w:pStyle w:val="38"/>
        <w:numPr>
          <w:ilvl w:val="0"/>
          <w:numId w:val="11"/>
        </w:numPr>
        <w:bidi w:val="0"/>
        <w:ind w:left="0" w:leftChars="0" w:firstLine="0" w:firstLineChars="0"/>
        <w:rPr>
          <w:rFonts w:hint="eastAsia"/>
          <w:lang w:val="en-US" w:eastAsia="zh-CN"/>
        </w:rPr>
      </w:pPr>
      <w:r>
        <w:rPr>
          <w:rFonts w:hint="eastAsia"/>
          <w:lang w:val="en-US" w:eastAsia="zh-CN"/>
        </w:rPr>
        <w:t>施工单位宜结合施工BIM应用目标，对BIM应用效果进行定性或定量评价，并总结实施经验，提出改进措施。</w:t>
      </w:r>
    </w:p>
    <w:p w14:paraId="33D85826">
      <w:pPr>
        <w:pStyle w:val="38"/>
        <w:numPr>
          <w:ilvl w:val="0"/>
          <w:numId w:val="11"/>
        </w:numPr>
        <w:bidi w:val="0"/>
        <w:ind w:left="0" w:leftChars="0" w:firstLine="0" w:firstLineChars="0"/>
        <w:rPr>
          <w:rFonts w:hint="eastAsia"/>
        </w:rPr>
      </w:pPr>
      <w:r>
        <w:rPr>
          <w:rFonts w:hint="eastAsia"/>
          <w:lang w:val="en-US" w:eastAsia="zh-CN"/>
        </w:rPr>
        <w:t>施工BIM应用的成果交付应按合同规定进行，并应符合本标准第9章节的规定。</w:t>
      </w:r>
    </w:p>
    <w:p w14:paraId="3D6853F4">
      <w:r>
        <w:br w:type="page"/>
      </w:r>
    </w:p>
    <w:p w14:paraId="2C6D5BA1">
      <w:pPr>
        <w:pStyle w:val="2"/>
        <w:bidi w:val="0"/>
        <w:rPr>
          <w:rFonts w:hint="default"/>
          <w:lang w:val="en-US" w:eastAsia="zh-CN"/>
        </w:rPr>
      </w:pPr>
      <w:bookmarkStart w:id="67" w:name="_Toc17464"/>
      <w:bookmarkStart w:id="68" w:name="_Toc17840"/>
      <w:bookmarkStart w:id="69" w:name="_Toc21943"/>
      <w:bookmarkStart w:id="70" w:name="_Toc12130"/>
      <w:r>
        <w:rPr>
          <w:rFonts w:hint="eastAsia"/>
          <w:lang w:val="en-US" w:eastAsia="zh-CN"/>
        </w:rPr>
        <w:t>施工模型</w:t>
      </w:r>
      <w:bookmarkEnd w:id="67"/>
      <w:bookmarkEnd w:id="68"/>
      <w:bookmarkEnd w:id="69"/>
      <w:bookmarkEnd w:id="70"/>
    </w:p>
    <w:p w14:paraId="4F1C50E4">
      <w:pPr>
        <w:pStyle w:val="3"/>
        <w:bidi w:val="0"/>
        <w:rPr>
          <w:rFonts w:hint="default"/>
          <w:lang w:val="en-US" w:eastAsia="zh-CN"/>
        </w:rPr>
      </w:pPr>
      <w:bookmarkStart w:id="71" w:name="_Toc7127"/>
      <w:bookmarkStart w:id="72" w:name="_Toc30503"/>
      <w:bookmarkStart w:id="73" w:name="_Toc7206"/>
      <w:bookmarkStart w:id="74" w:name="_Toc7290"/>
      <w:bookmarkStart w:id="75" w:name="_Toc20770"/>
      <w:r>
        <w:rPr>
          <w:rFonts w:hint="eastAsia"/>
          <w:lang w:val="en-US" w:eastAsia="zh-CN"/>
        </w:rPr>
        <w:t>一般规定</w:t>
      </w:r>
      <w:bookmarkEnd w:id="71"/>
      <w:bookmarkEnd w:id="72"/>
      <w:bookmarkEnd w:id="73"/>
      <w:bookmarkEnd w:id="74"/>
      <w:bookmarkEnd w:id="75"/>
    </w:p>
    <w:p w14:paraId="16445A95">
      <w:pPr>
        <w:pStyle w:val="38"/>
        <w:numPr>
          <w:ilvl w:val="0"/>
          <w:numId w:val="13"/>
        </w:numPr>
        <w:bidi w:val="0"/>
        <w:ind w:left="0" w:leftChars="0" w:firstLine="0" w:firstLineChars="0"/>
        <w:rPr>
          <w:rFonts w:hint="eastAsia"/>
          <w:highlight w:val="none"/>
          <w:lang w:val="en-US" w:eastAsia="zh-CN"/>
        </w:rPr>
      </w:pPr>
      <w:r>
        <w:rPr>
          <w:rFonts w:hint="eastAsia"/>
          <w:highlight w:val="none"/>
          <w:lang w:val="en-US" w:eastAsia="zh-CN"/>
        </w:rPr>
        <w:t>施工模型应包括深化设计模型、施工过程模型和竣工交付模型。</w:t>
      </w:r>
    </w:p>
    <w:p w14:paraId="202FBC33">
      <w:pPr>
        <w:pStyle w:val="38"/>
        <w:numPr>
          <w:ilvl w:val="0"/>
          <w:numId w:val="13"/>
        </w:numPr>
        <w:bidi w:val="0"/>
        <w:ind w:left="0" w:leftChars="0" w:firstLine="0" w:firstLineChars="0"/>
        <w:rPr>
          <w:rFonts w:hint="eastAsia"/>
          <w:highlight w:val="none"/>
          <w:lang w:val="en-US" w:eastAsia="zh-CN"/>
        </w:rPr>
      </w:pPr>
      <w:r>
        <w:rPr>
          <w:rFonts w:hint="eastAsia"/>
          <w:highlight w:val="none"/>
          <w:lang w:val="en-US" w:eastAsia="zh-CN"/>
        </w:rPr>
        <w:t>施工模型宜在施工图设计模型基础上创建，也可根据施工图等已有工程项目文件进行创建。</w:t>
      </w:r>
    </w:p>
    <w:p w14:paraId="38CD5A74">
      <w:pPr>
        <w:pStyle w:val="38"/>
        <w:numPr>
          <w:ilvl w:val="0"/>
          <w:numId w:val="13"/>
        </w:numPr>
        <w:bidi w:val="0"/>
        <w:ind w:left="0" w:leftChars="0" w:firstLine="0" w:firstLineChars="0"/>
        <w:rPr>
          <w:rFonts w:hint="default"/>
          <w:highlight w:val="none"/>
          <w:lang w:val="en-US" w:eastAsia="zh-CN"/>
        </w:rPr>
      </w:pPr>
      <w:r>
        <w:rPr>
          <w:rFonts w:hint="eastAsia"/>
          <w:highlight w:val="none"/>
          <w:lang w:val="en-US" w:eastAsia="zh-CN"/>
        </w:rPr>
        <w:t>施工模型应根据施工BIM应用相关专业和任务的需求，按照统一的规则和要求创建。</w:t>
      </w:r>
    </w:p>
    <w:p w14:paraId="3DE02A6D">
      <w:pPr>
        <w:pStyle w:val="38"/>
        <w:numPr>
          <w:ilvl w:val="0"/>
          <w:numId w:val="13"/>
        </w:numPr>
        <w:bidi w:val="0"/>
        <w:ind w:left="0" w:leftChars="0" w:firstLine="0" w:firstLineChars="0"/>
        <w:rPr>
          <w:rFonts w:hint="eastAsia"/>
          <w:highlight w:val="none"/>
          <w:lang w:val="en-US" w:eastAsia="zh-CN"/>
        </w:rPr>
      </w:pPr>
      <w:r>
        <w:rPr>
          <w:rFonts w:hint="eastAsia"/>
          <w:highlight w:val="none"/>
          <w:lang w:val="en-US" w:eastAsia="zh-CN"/>
        </w:rPr>
        <w:t>模型创建应采用统一的坐标系、坐标原点和度量单位。</w:t>
      </w:r>
    </w:p>
    <w:p w14:paraId="073FEBE7">
      <w:pPr>
        <w:pStyle w:val="38"/>
        <w:numPr>
          <w:ilvl w:val="0"/>
          <w:numId w:val="13"/>
        </w:numPr>
        <w:bidi w:val="0"/>
        <w:ind w:left="0" w:leftChars="0" w:firstLine="0" w:firstLineChars="0"/>
        <w:rPr>
          <w:rFonts w:hint="eastAsia"/>
          <w:highlight w:val="none"/>
          <w:lang w:val="en-US" w:eastAsia="zh-CN"/>
        </w:rPr>
      </w:pPr>
      <w:r>
        <w:rPr>
          <w:rFonts w:hint="eastAsia"/>
          <w:highlight w:val="none"/>
          <w:lang w:val="en-US" w:eastAsia="zh-CN"/>
        </w:rPr>
        <w:t>施工模型宜具备下列功能：</w:t>
      </w:r>
    </w:p>
    <w:p w14:paraId="742BF7DC">
      <w:pPr>
        <w:pStyle w:val="38"/>
        <w:keepNext w:val="0"/>
        <w:keepLines w:val="0"/>
        <w:pageBreakBefore w:val="0"/>
        <w:widowControl w:val="0"/>
        <w:numPr>
          <w:ilvl w:val="0"/>
          <w:numId w:val="14"/>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可视化；</w:t>
      </w:r>
    </w:p>
    <w:p w14:paraId="4B9544B4">
      <w:pPr>
        <w:pStyle w:val="38"/>
        <w:keepNext w:val="0"/>
        <w:keepLines w:val="0"/>
        <w:pageBreakBefore w:val="0"/>
        <w:widowControl w:val="0"/>
        <w:numPr>
          <w:ilvl w:val="0"/>
          <w:numId w:val="14"/>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可模拟分析；</w:t>
      </w:r>
    </w:p>
    <w:p w14:paraId="2B735DC6">
      <w:pPr>
        <w:pStyle w:val="38"/>
        <w:keepNext w:val="0"/>
        <w:keepLines w:val="0"/>
        <w:pageBreakBefore w:val="0"/>
        <w:widowControl w:val="0"/>
        <w:numPr>
          <w:ilvl w:val="0"/>
          <w:numId w:val="14"/>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可计算分析；</w:t>
      </w:r>
    </w:p>
    <w:p w14:paraId="1AA57480">
      <w:pPr>
        <w:pStyle w:val="38"/>
        <w:keepNext w:val="0"/>
        <w:keepLines w:val="0"/>
        <w:pageBreakBefore w:val="0"/>
        <w:widowControl w:val="0"/>
        <w:numPr>
          <w:ilvl w:val="0"/>
          <w:numId w:val="14"/>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可统计算量；</w:t>
      </w:r>
    </w:p>
    <w:p w14:paraId="5DB9A230">
      <w:pPr>
        <w:pStyle w:val="38"/>
        <w:keepNext w:val="0"/>
        <w:keepLines w:val="0"/>
        <w:pageBreakBefore w:val="0"/>
        <w:widowControl w:val="0"/>
        <w:numPr>
          <w:ilvl w:val="0"/>
          <w:numId w:val="14"/>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可出图。</w:t>
      </w:r>
    </w:p>
    <w:p w14:paraId="449AD4CB">
      <w:pPr>
        <w:pStyle w:val="38"/>
        <w:numPr>
          <w:ilvl w:val="0"/>
          <w:numId w:val="13"/>
        </w:numPr>
        <w:bidi w:val="0"/>
        <w:ind w:left="0" w:leftChars="0" w:firstLine="0" w:firstLineChars="0"/>
        <w:rPr>
          <w:rFonts w:hint="eastAsia"/>
          <w:highlight w:val="none"/>
          <w:lang w:val="en-US" w:eastAsia="zh-CN"/>
        </w:rPr>
      </w:pPr>
      <w:r>
        <w:rPr>
          <w:rFonts w:hint="eastAsia"/>
          <w:highlight w:val="none"/>
          <w:lang w:val="en-US" w:eastAsia="zh-CN"/>
        </w:rPr>
        <w:t>模型单元信息宜包括下列内容：</w:t>
      </w:r>
    </w:p>
    <w:p w14:paraId="4227B68E">
      <w:pPr>
        <w:pStyle w:val="38"/>
        <w:keepNext w:val="0"/>
        <w:keepLines w:val="0"/>
        <w:pageBreakBefore w:val="0"/>
        <w:widowControl w:val="0"/>
        <w:numPr>
          <w:ilvl w:val="0"/>
          <w:numId w:val="15"/>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尺寸、定位、空间拓扑关系等几何信息；</w:t>
      </w:r>
    </w:p>
    <w:p w14:paraId="5591E9C9">
      <w:pPr>
        <w:pStyle w:val="38"/>
        <w:keepNext w:val="0"/>
        <w:keepLines w:val="0"/>
        <w:pageBreakBefore w:val="0"/>
        <w:widowControl w:val="0"/>
        <w:numPr>
          <w:ilvl w:val="0"/>
          <w:numId w:val="15"/>
        </w:numPr>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中文名称、规格型号、材料和材质、生产厂商、功能与性能技术参数，以及图纸、系统、位置、安装者、安装时间、施工方式、工程逻辑关系等非几何信息。</w:t>
      </w:r>
    </w:p>
    <w:p w14:paraId="6709F2CC">
      <w:pPr>
        <w:pStyle w:val="3"/>
        <w:bidi w:val="0"/>
        <w:rPr>
          <w:rFonts w:hint="default"/>
          <w:lang w:val="en-US" w:eastAsia="zh-CN"/>
        </w:rPr>
      </w:pPr>
      <w:bookmarkStart w:id="76" w:name="_Toc12091"/>
      <w:bookmarkStart w:id="77" w:name="_Toc4924"/>
      <w:bookmarkStart w:id="78" w:name="_Toc28421"/>
      <w:bookmarkStart w:id="79" w:name="_Toc14632"/>
      <w:r>
        <w:rPr>
          <w:rFonts w:hint="eastAsia"/>
          <w:lang w:val="en-US" w:eastAsia="zh-CN"/>
        </w:rPr>
        <w:t>模型创建</w:t>
      </w:r>
      <w:bookmarkEnd w:id="76"/>
      <w:bookmarkEnd w:id="77"/>
      <w:bookmarkEnd w:id="78"/>
      <w:bookmarkEnd w:id="79"/>
    </w:p>
    <w:p w14:paraId="09FCD131">
      <w:pPr>
        <w:pStyle w:val="38"/>
        <w:numPr>
          <w:ilvl w:val="0"/>
          <w:numId w:val="16"/>
        </w:numPr>
        <w:bidi w:val="0"/>
        <w:ind w:left="0" w:leftChars="0" w:firstLine="0" w:firstLineChars="0"/>
        <w:rPr>
          <w:rFonts w:hint="eastAsia" w:ascii="Times New Roman" w:hAnsi="Times New Roman" w:eastAsia="宋体"/>
        </w:rPr>
      </w:pPr>
      <w:r>
        <w:rPr>
          <w:rFonts w:hint="eastAsia"/>
          <w:lang w:val="en-US" w:eastAsia="zh-CN"/>
        </w:rPr>
        <w:t>施工模型的创建应综合考虑模型的使用范围及目的，应满足核岛安装工程施工BIM应用的要求。</w:t>
      </w:r>
    </w:p>
    <w:p w14:paraId="45EA7D74">
      <w:pPr>
        <w:pStyle w:val="38"/>
        <w:numPr>
          <w:ilvl w:val="0"/>
          <w:numId w:val="16"/>
        </w:numPr>
        <w:bidi w:val="0"/>
        <w:ind w:left="0" w:leftChars="0" w:firstLine="0" w:firstLineChars="0"/>
        <w:rPr>
          <w:rFonts w:hint="default"/>
          <w:lang w:val="en-US" w:eastAsia="zh-CN"/>
        </w:rPr>
      </w:pPr>
      <w:r>
        <w:rPr>
          <w:rFonts w:hint="eastAsia"/>
          <w:lang w:val="en-US" w:eastAsia="zh-CN"/>
        </w:rPr>
        <w:t>施工模型应依据施工图设计模型、施工图、技术规格书、变更文件等资料进行创建。</w:t>
      </w:r>
    </w:p>
    <w:p w14:paraId="28B124F2">
      <w:pPr>
        <w:pStyle w:val="38"/>
        <w:numPr>
          <w:ilvl w:val="0"/>
          <w:numId w:val="16"/>
        </w:numPr>
        <w:bidi w:val="0"/>
        <w:ind w:left="0" w:leftChars="0" w:firstLine="0" w:firstLineChars="0"/>
        <w:rPr>
          <w:rFonts w:hint="eastAsia" w:ascii="Times New Roman" w:hAnsi="Times New Roman" w:eastAsia="宋体"/>
        </w:rPr>
      </w:pPr>
      <w:r>
        <w:rPr>
          <w:rFonts w:hint="eastAsia" w:ascii="Times New Roman" w:hAnsi="Times New Roman" w:eastAsia="宋体"/>
        </w:rPr>
        <w:t>深化设计模型宜在施工图设计模型基础上，通过增加或细化模型单元等方式进行创建。</w:t>
      </w:r>
    </w:p>
    <w:p w14:paraId="614AE427">
      <w:pPr>
        <w:pStyle w:val="38"/>
        <w:numPr>
          <w:ilvl w:val="0"/>
          <w:numId w:val="16"/>
        </w:numPr>
        <w:bidi w:val="0"/>
        <w:ind w:left="0" w:leftChars="0" w:firstLine="0" w:firstLineChars="0"/>
        <w:rPr>
          <w:rFonts w:hint="eastAsia" w:ascii="Times New Roman" w:hAnsi="Times New Roman" w:eastAsia="宋体"/>
        </w:rPr>
      </w:pPr>
      <w:r>
        <w:rPr>
          <w:rFonts w:hint="eastAsia" w:ascii="Times New Roman" w:hAnsi="Times New Roman" w:eastAsia="宋体"/>
        </w:rPr>
        <w:t>施工过程模型宜在施工图设计模型或深化设计模型基础上创建。宜根据</w:t>
      </w:r>
      <w:r>
        <w:rPr>
          <w:rFonts w:hint="eastAsia"/>
          <w:lang w:val="en-US" w:eastAsia="zh-CN"/>
        </w:rPr>
        <w:t>产品</w:t>
      </w:r>
      <w:r>
        <w:rPr>
          <w:rFonts w:hint="eastAsia" w:ascii="Times New Roman" w:hAnsi="Times New Roman" w:eastAsia="宋体"/>
        </w:rPr>
        <w:t>分解结构</w:t>
      </w:r>
      <w:r>
        <w:rPr>
          <w:rFonts w:hint="eastAsia"/>
          <w:lang w:eastAsia="zh-CN"/>
        </w:rPr>
        <w:t>（</w:t>
      </w:r>
      <w:r>
        <w:rPr>
          <w:rFonts w:hint="eastAsia"/>
          <w:lang w:val="en-US" w:eastAsia="zh-CN"/>
        </w:rPr>
        <w:t>PBS</w:t>
      </w:r>
      <w:r>
        <w:rPr>
          <w:rFonts w:hint="eastAsia"/>
          <w:lang w:eastAsia="zh-CN"/>
        </w:rPr>
        <w:t>）、</w:t>
      </w:r>
      <w:r>
        <w:rPr>
          <w:rFonts w:hint="eastAsia" w:ascii="Times New Roman" w:hAnsi="Times New Roman" w:eastAsia="宋体"/>
          <w:highlight w:val="none"/>
        </w:rPr>
        <w:t>施工</w:t>
      </w:r>
      <w:r>
        <w:rPr>
          <w:rFonts w:hint="eastAsia"/>
          <w:highlight w:val="none"/>
          <w:lang w:val="en-US" w:eastAsia="zh-CN"/>
        </w:rPr>
        <w:t>范围和施工内容</w:t>
      </w:r>
      <w:r>
        <w:rPr>
          <w:rFonts w:hint="eastAsia" w:ascii="Times New Roman" w:hAnsi="Times New Roman" w:eastAsia="宋体"/>
        </w:rPr>
        <w:t>对模型单元进行必要的拆分或合并处理，并按要求在施工过程中对模型</w:t>
      </w:r>
      <w:r>
        <w:rPr>
          <w:rFonts w:hint="eastAsia"/>
          <w:lang w:val="en-US" w:eastAsia="zh-CN"/>
        </w:rPr>
        <w:t>单元</w:t>
      </w:r>
      <w:r>
        <w:rPr>
          <w:rFonts w:hint="eastAsia" w:ascii="Times New Roman" w:hAnsi="Times New Roman" w:eastAsia="宋体"/>
        </w:rPr>
        <w:t>附加或关联施工信息。</w:t>
      </w:r>
    </w:p>
    <w:p w14:paraId="3BD9DA32">
      <w:pPr>
        <w:pStyle w:val="38"/>
        <w:numPr>
          <w:ilvl w:val="0"/>
          <w:numId w:val="16"/>
        </w:numPr>
        <w:bidi w:val="0"/>
        <w:ind w:left="0" w:leftChars="0" w:firstLine="0" w:firstLineChars="0"/>
        <w:rPr>
          <w:rFonts w:hint="eastAsia" w:ascii="Times New Roman" w:hAnsi="Times New Roman" w:eastAsia="宋体"/>
        </w:rPr>
      </w:pPr>
      <w:r>
        <w:rPr>
          <w:rFonts w:hint="eastAsia" w:ascii="Times New Roman" w:hAnsi="Times New Roman" w:eastAsia="宋体"/>
        </w:rPr>
        <w:t>竣工</w:t>
      </w:r>
      <w:r>
        <w:rPr>
          <w:rFonts w:hint="eastAsia"/>
          <w:lang w:val="en-US" w:eastAsia="zh-CN"/>
        </w:rPr>
        <w:t>交付</w:t>
      </w:r>
      <w:r>
        <w:rPr>
          <w:rFonts w:hint="eastAsia" w:ascii="Times New Roman" w:hAnsi="Times New Roman" w:eastAsia="宋体"/>
        </w:rPr>
        <w:t>模型宜在施工过程模型的基础上，根据工程项目竣工</w:t>
      </w:r>
      <w:r>
        <w:rPr>
          <w:rFonts w:hint="eastAsia"/>
          <w:lang w:val="en-US" w:eastAsia="zh-CN"/>
        </w:rPr>
        <w:t>交付</w:t>
      </w:r>
      <w:r>
        <w:rPr>
          <w:rFonts w:hint="eastAsia" w:ascii="Times New Roman" w:hAnsi="Times New Roman" w:eastAsia="宋体"/>
        </w:rPr>
        <w:t>要求，通过修改、增加或删除相关信息创建。</w:t>
      </w:r>
    </w:p>
    <w:p w14:paraId="1D3E04D4">
      <w:pPr>
        <w:pStyle w:val="38"/>
        <w:numPr>
          <w:ilvl w:val="0"/>
          <w:numId w:val="16"/>
        </w:numPr>
        <w:bidi w:val="0"/>
        <w:ind w:left="0" w:leftChars="0" w:firstLine="0" w:firstLineChars="0"/>
        <w:rPr>
          <w:rFonts w:hint="eastAsia" w:ascii="Times New Roman" w:hAnsi="Times New Roman" w:eastAsia="宋体"/>
        </w:rPr>
      </w:pPr>
      <w:r>
        <w:rPr>
          <w:rFonts w:hint="eastAsia"/>
          <w:lang w:val="en-US" w:eastAsia="zh-CN"/>
        </w:rPr>
        <w:t>施工模型创建前应建立</w:t>
      </w:r>
      <w:r>
        <w:rPr>
          <w:rFonts w:hint="eastAsia"/>
          <w:highlight w:val="none"/>
          <w:lang w:val="en-US" w:eastAsia="zh-CN"/>
        </w:rPr>
        <w:t>统一的模型创建规则，包括下列内容：</w:t>
      </w:r>
    </w:p>
    <w:p w14:paraId="06DA0342">
      <w:pPr>
        <w:pStyle w:val="38"/>
        <w:keepNext w:val="0"/>
        <w:keepLines w:val="0"/>
        <w:pageBreakBefore w:val="0"/>
        <w:widowControl w:val="0"/>
        <w:numPr>
          <w:ilvl w:val="0"/>
          <w:numId w:val="17"/>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lang w:val="en-US" w:eastAsia="zh-CN"/>
        </w:rPr>
        <w:t>模型库创建规则；</w:t>
      </w:r>
    </w:p>
    <w:p w14:paraId="7CB51E8F">
      <w:pPr>
        <w:pStyle w:val="38"/>
        <w:keepNext w:val="0"/>
        <w:keepLines w:val="0"/>
        <w:pageBreakBefore w:val="0"/>
        <w:widowControl w:val="0"/>
        <w:numPr>
          <w:ilvl w:val="0"/>
          <w:numId w:val="17"/>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lang w:val="en-US" w:eastAsia="zh-CN"/>
        </w:rPr>
        <w:t>模型单元的创建规则；</w:t>
      </w:r>
    </w:p>
    <w:p w14:paraId="32662EA8">
      <w:pPr>
        <w:pStyle w:val="38"/>
        <w:keepNext w:val="0"/>
        <w:keepLines w:val="0"/>
        <w:pageBreakBefore w:val="0"/>
        <w:widowControl w:val="0"/>
        <w:numPr>
          <w:ilvl w:val="0"/>
          <w:numId w:val="17"/>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lang w:val="en-US" w:eastAsia="zh-CN"/>
        </w:rPr>
        <w:t>模型单元的命名规则；</w:t>
      </w:r>
    </w:p>
    <w:p w14:paraId="674C7271">
      <w:pPr>
        <w:pStyle w:val="38"/>
        <w:keepNext w:val="0"/>
        <w:keepLines w:val="0"/>
        <w:pageBreakBefore w:val="0"/>
        <w:widowControl w:val="0"/>
        <w:numPr>
          <w:ilvl w:val="0"/>
          <w:numId w:val="17"/>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lang w:val="en-US" w:eastAsia="zh-CN"/>
        </w:rPr>
        <w:t>模型单元非几何信息的写入规则；</w:t>
      </w:r>
    </w:p>
    <w:p w14:paraId="32E2DDB8">
      <w:pPr>
        <w:pStyle w:val="38"/>
        <w:keepNext w:val="0"/>
        <w:keepLines w:val="0"/>
        <w:pageBreakBefore w:val="0"/>
        <w:widowControl w:val="0"/>
        <w:numPr>
          <w:ilvl w:val="0"/>
          <w:numId w:val="17"/>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lang w:val="en-US" w:eastAsia="zh-CN"/>
        </w:rPr>
        <w:t>模型审查规则。</w:t>
      </w:r>
    </w:p>
    <w:p w14:paraId="2D935736">
      <w:pPr>
        <w:pStyle w:val="38"/>
        <w:numPr>
          <w:ilvl w:val="0"/>
          <w:numId w:val="16"/>
        </w:numPr>
        <w:bidi w:val="0"/>
        <w:ind w:left="0" w:leftChars="0" w:firstLine="0" w:firstLineChars="0"/>
        <w:rPr>
          <w:rFonts w:hint="default" w:ascii="Times New Roman" w:hAnsi="Times New Roman" w:eastAsia="宋体"/>
          <w:lang w:val="en-US" w:eastAsia="zh-CN"/>
        </w:rPr>
      </w:pPr>
      <w:r>
        <w:rPr>
          <w:rFonts w:hint="eastAsia"/>
          <w:lang w:val="en-US" w:eastAsia="zh-CN"/>
        </w:rPr>
        <w:t>施工</w:t>
      </w:r>
      <w:r>
        <w:rPr>
          <w:rFonts w:hint="default" w:ascii="Times New Roman" w:hAnsi="Times New Roman" w:eastAsia="宋体"/>
          <w:lang w:val="en-US" w:eastAsia="zh-CN"/>
        </w:rPr>
        <w:t>模型创建中所有模型均应使用毫米为单位。</w:t>
      </w:r>
    </w:p>
    <w:p w14:paraId="1558F32C">
      <w:pPr>
        <w:pStyle w:val="38"/>
        <w:numPr>
          <w:ilvl w:val="0"/>
          <w:numId w:val="16"/>
        </w:numPr>
        <w:bidi w:val="0"/>
        <w:ind w:left="0" w:leftChars="0" w:firstLine="0" w:firstLineChars="0"/>
        <w:rPr>
          <w:rFonts w:hint="default" w:ascii="Times New Roman" w:hAnsi="Times New Roman" w:eastAsia="宋体"/>
          <w:highlight w:val="none"/>
          <w:lang w:val="en-US" w:eastAsia="zh-CN"/>
        </w:rPr>
      </w:pPr>
      <w:r>
        <w:rPr>
          <w:rFonts w:hint="eastAsia"/>
          <w:highlight w:val="none"/>
          <w:lang w:val="en-US" w:eastAsia="zh-CN"/>
        </w:rPr>
        <w:t>施工模型创建应选取统一的基准点，宜以核岛反应堆厂房±0.000m标高的中心位置为基准。</w:t>
      </w:r>
    </w:p>
    <w:p w14:paraId="035560C1">
      <w:pPr>
        <w:pStyle w:val="38"/>
        <w:numPr>
          <w:ilvl w:val="0"/>
          <w:numId w:val="16"/>
        </w:numPr>
        <w:bidi w:val="0"/>
        <w:ind w:left="0" w:leftChars="0" w:firstLine="0" w:firstLineChars="0"/>
        <w:rPr>
          <w:rFonts w:hint="eastAsia" w:ascii="Times New Roman" w:hAnsi="Times New Roman" w:eastAsia="宋体"/>
          <w:highlight w:val="none"/>
        </w:rPr>
      </w:pPr>
      <w:r>
        <w:rPr>
          <w:rFonts w:hint="eastAsia"/>
          <w:highlight w:val="none"/>
          <w:lang w:val="en-US" w:eastAsia="zh-CN"/>
        </w:rPr>
        <w:t>施工模型创建完成后应进行模型审查，</w:t>
      </w:r>
      <w:r>
        <w:rPr>
          <w:rFonts w:hint="eastAsia" w:ascii="Times New Roman" w:hAnsi="Times New Roman" w:eastAsia="宋体"/>
          <w:highlight w:val="none"/>
        </w:rPr>
        <w:t>模型审查</w:t>
      </w:r>
      <w:r>
        <w:rPr>
          <w:rFonts w:hint="eastAsia"/>
          <w:highlight w:val="none"/>
          <w:lang w:val="en-US" w:eastAsia="zh-CN"/>
        </w:rPr>
        <w:t>应符合下列</w:t>
      </w:r>
      <w:r>
        <w:rPr>
          <w:rFonts w:hint="eastAsia" w:ascii="Times New Roman" w:hAnsi="Times New Roman" w:eastAsia="宋体"/>
          <w:highlight w:val="none"/>
        </w:rPr>
        <w:t>基本原则：</w:t>
      </w:r>
    </w:p>
    <w:p w14:paraId="287EDAC8">
      <w:pPr>
        <w:pStyle w:val="38"/>
        <w:keepNext w:val="0"/>
        <w:keepLines w:val="0"/>
        <w:pageBreakBefore w:val="0"/>
        <w:widowControl w:val="0"/>
        <w:numPr>
          <w:ilvl w:val="0"/>
          <w:numId w:val="18"/>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完整性：应包含所有需要创建的模型，满足模型精细度要求；</w:t>
      </w:r>
    </w:p>
    <w:p w14:paraId="5980185B">
      <w:pPr>
        <w:pStyle w:val="38"/>
        <w:keepNext w:val="0"/>
        <w:keepLines w:val="0"/>
        <w:pageBreakBefore w:val="0"/>
        <w:widowControl w:val="0"/>
        <w:numPr>
          <w:ilvl w:val="0"/>
          <w:numId w:val="18"/>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规范性：应使用正确的对象创建模型，无多余、重复的模型单元；</w:t>
      </w:r>
    </w:p>
    <w:p w14:paraId="7444FDD6">
      <w:pPr>
        <w:pStyle w:val="38"/>
        <w:keepNext w:val="0"/>
        <w:keepLines w:val="0"/>
        <w:pageBreakBefore w:val="0"/>
        <w:widowControl w:val="0"/>
        <w:numPr>
          <w:ilvl w:val="0"/>
          <w:numId w:val="18"/>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正确性：模型的几何信息、非几何信息及模型单元命名应符合要求；</w:t>
      </w:r>
    </w:p>
    <w:p w14:paraId="1FE07B79">
      <w:pPr>
        <w:pStyle w:val="38"/>
        <w:keepNext w:val="0"/>
        <w:keepLines w:val="0"/>
        <w:pageBreakBefore w:val="0"/>
        <w:widowControl w:val="0"/>
        <w:numPr>
          <w:ilvl w:val="0"/>
          <w:numId w:val="18"/>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协调性：模型应无因设计错误造成的各专业冲突。</w:t>
      </w:r>
    </w:p>
    <w:p w14:paraId="13193BF9">
      <w:pPr>
        <w:pStyle w:val="38"/>
        <w:numPr>
          <w:ilvl w:val="0"/>
          <w:numId w:val="16"/>
        </w:numPr>
        <w:bidi w:val="0"/>
        <w:ind w:left="0" w:leftChars="0" w:firstLine="0" w:firstLineChars="0"/>
        <w:rPr>
          <w:rFonts w:hint="eastAsia" w:ascii="Times New Roman" w:hAnsi="Times New Roman" w:eastAsia="宋体"/>
        </w:rPr>
      </w:pPr>
      <w:r>
        <w:rPr>
          <w:rFonts w:hint="eastAsia" w:ascii="Times New Roman" w:hAnsi="Times New Roman" w:eastAsia="宋体"/>
        </w:rPr>
        <w:t>当工程发生变更时，应更新施工模型及相关信息，并记录工程及模型的变更。</w:t>
      </w:r>
    </w:p>
    <w:p w14:paraId="20585C1B">
      <w:pPr>
        <w:pStyle w:val="38"/>
        <w:numPr>
          <w:ilvl w:val="0"/>
          <w:numId w:val="16"/>
        </w:numPr>
        <w:bidi w:val="0"/>
        <w:ind w:left="0" w:leftChars="0" w:firstLine="0" w:firstLineChars="0"/>
        <w:rPr>
          <w:rFonts w:hint="eastAsia" w:ascii="Times New Roman" w:hAnsi="Times New Roman" w:eastAsia="宋体"/>
        </w:rPr>
      </w:pPr>
      <w:r>
        <w:rPr>
          <w:rFonts w:hint="eastAsia" w:ascii="Times New Roman" w:hAnsi="Times New Roman" w:eastAsia="宋体"/>
        </w:rPr>
        <w:t>模型单元的增加、细化、拆分、合并、集成等操作后应进行模型的</w:t>
      </w:r>
      <w:r>
        <w:rPr>
          <w:rFonts w:hint="eastAsia"/>
          <w:lang w:val="en-US" w:eastAsia="zh-CN"/>
        </w:rPr>
        <w:t>审查</w:t>
      </w:r>
      <w:r>
        <w:rPr>
          <w:rFonts w:hint="eastAsia" w:ascii="Times New Roman" w:hAnsi="Times New Roman" w:eastAsia="宋体"/>
        </w:rPr>
        <w:t>。</w:t>
      </w:r>
    </w:p>
    <w:p w14:paraId="158397A2">
      <w:pPr>
        <w:pStyle w:val="38"/>
        <w:numPr>
          <w:ilvl w:val="0"/>
          <w:numId w:val="16"/>
        </w:numPr>
        <w:bidi w:val="0"/>
        <w:ind w:left="0" w:leftChars="0" w:firstLine="0" w:firstLineChars="0"/>
        <w:rPr>
          <w:rFonts w:hint="eastAsia" w:ascii="Times New Roman" w:hAnsi="Times New Roman" w:eastAsia="宋体"/>
        </w:rPr>
      </w:pPr>
      <w:bookmarkStart w:id="80" w:name="_Toc31670"/>
      <w:r>
        <w:rPr>
          <w:rFonts w:hint="eastAsia"/>
          <w:lang w:val="en-US" w:eastAsia="zh-CN"/>
        </w:rPr>
        <w:t>对于使用不同BIM软件创建的施工模型，应能够转换成兼容的数据格式，实现各施工模型的合并或集成。</w:t>
      </w:r>
    </w:p>
    <w:p w14:paraId="3DB46282">
      <w:pPr>
        <w:pStyle w:val="3"/>
        <w:bidi w:val="0"/>
        <w:rPr>
          <w:rFonts w:hint="default"/>
          <w:lang w:val="en-US" w:eastAsia="zh-CN"/>
        </w:rPr>
      </w:pPr>
      <w:bookmarkStart w:id="81" w:name="_Toc15633"/>
      <w:bookmarkStart w:id="82" w:name="_Toc15388"/>
      <w:bookmarkStart w:id="83" w:name="_Toc32558"/>
      <w:r>
        <w:rPr>
          <w:rFonts w:hint="eastAsia"/>
          <w:lang w:val="en-US" w:eastAsia="zh-CN"/>
        </w:rPr>
        <w:t>模型精细度</w:t>
      </w:r>
      <w:bookmarkEnd w:id="80"/>
      <w:bookmarkEnd w:id="81"/>
      <w:bookmarkEnd w:id="82"/>
      <w:bookmarkEnd w:id="83"/>
    </w:p>
    <w:p w14:paraId="74BD19B8">
      <w:pPr>
        <w:pStyle w:val="38"/>
        <w:numPr>
          <w:ilvl w:val="0"/>
          <w:numId w:val="19"/>
        </w:numPr>
        <w:bidi w:val="0"/>
        <w:ind w:left="0" w:leftChars="0" w:firstLine="0" w:firstLineChars="0"/>
        <w:rPr>
          <w:rFonts w:hint="eastAsia"/>
          <w:lang w:val="en-US" w:eastAsia="zh-CN"/>
        </w:rPr>
      </w:pPr>
      <w:r>
        <w:rPr>
          <w:rFonts w:hint="eastAsia"/>
          <w:lang w:val="en-US" w:eastAsia="zh-CN"/>
        </w:rPr>
        <w:t>施工模型宜基于模型单元的几何信息和非几何信息进行模型精细度划分。</w:t>
      </w:r>
    </w:p>
    <w:p w14:paraId="261E0DBC">
      <w:pPr>
        <w:pStyle w:val="38"/>
        <w:numPr>
          <w:ilvl w:val="0"/>
          <w:numId w:val="19"/>
        </w:numPr>
        <w:bidi w:val="0"/>
        <w:ind w:left="0" w:leftChars="0" w:firstLine="0" w:firstLineChars="0"/>
        <w:rPr>
          <w:rFonts w:hint="default" w:ascii="Times New Roman" w:hAnsi="Times New Roman"/>
          <w:lang w:val="en-US" w:eastAsia="zh-CN"/>
        </w:rPr>
      </w:pPr>
      <w:r>
        <w:rPr>
          <w:rFonts w:hint="default" w:ascii="Times New Roman" w:hAnsi="Times New Roman"/>
          <w:lang w:val="en-US" w:eastAsia="zh-CN"/>
        </w:rPr>
        <w:t>模型单元的几何表达精度应符合下列规定：</w:t>
      </w:r>
    </w:p>
    <w:p w14:paraId="2C4F3C8F">
      <w:pPr>
        <w:pStyle w:val="38"/>
        <w:keepNext w:val="0"/>
        <w:keepLines w:val="0"/>
        <w:pageBreakBefore w:val="0"/>
        <w:widowControl w:val="0"/>
        <w:numPr>
          <w:ilvl w:val="0"/>
          <w:numId w:val="20"/>
        </w:numPr>
        <w:kinsoku/>
        <w:wordWrap/>
        <w:overflowPunct/>
        <w:topLinePunct w:val="0"/>
        <w:autoSpaceDE/>
        <w:autoSpaceDN/>
        <w:bidi w:val="0"/>
        <w:adjustRightInd/>
        <w:snapToGrid/>
        <w:ind w:left="0" w:leftChars="0" w:firstLine="480" w:firstLineChars="200"/>
        <w:textAlignment w:val="auto"/>
        <w:rPr>
          <w:rFonts w:hint="default" w:ascii="Times New Roman" w:hAnsi="Times New Roman"/>
          <w:highlight w:val="none"/>
          <w:lang w:val="en-US" w:eastAsia="zh-CN"/>
        </w:rPr>
      </w:pPr>
      <w:r>
        <w:rPr>
          <w:rFonts w:hint="default" w:ascii="Times New Roman" w:hAnsi="Times New Roman"/>
          <w:highlight w:val="none"/>
          <w:lang w:val="en-US" w:eastAsia="zh-CN"/>
        </w:rPr>
        <w:t>应选取适宜的几何表达精度呈现模型单元的几何信息；</w:t>
      </w:r>
    </w:p>
    <w:p w14:paraId="05114AC1">
      <w:pPr>
        <w:pStyle w:val="38"/>
        <w:keepNext w:val="0"/>
        <w:keepLines w:val="0"/>
        <w:pageBreakBefore w:val="0"/>
        <w:widowControl w:val="0"/>
        <w:numPr>
          <w:ilvl w:val="0"/>
          <w:numId w:val="20"/>
        </w:numPr>
        <w:kinsoku/>
        <w:wordWrap/>
        <w:overflowPunct/>
        <w:topLinePunct w:val="0"/>
        <w:autoSpaceDE/>
        <w:autoSpaceDN/>
        <w:bidi w:val="0"/>
        <w:adjustRightInd/>
        <w:snapToGrid/>
        <w:ind w:left="0" w:leftChars="0" w:firstLine="480" w:firstLineChars="200"/>
        <w:textAlignment w:val="auto"/>
        <w:rPr>
          <w:rFonts w:hint="default" w:ascii="Times New Roman" w:hAnsi="Times New Roman"/>
          <w:highlight w:val="none"/>
          <w:lang w:val="en-US" w:eastAsia="zh-CN"/>
        </w:rPr>
      </w:pPr>
      <w:r>
        <w:rPr>
          <w:rFonts w:hint="default" w:ascii="Times New Roman" w:hAnsi="Times New Roman"/>
          <w:highlight w:val="none"/>
          <w:lang w:val="en-US" w:eastAsia="zh-CN"/>
        </w:rPr>
        <w:t>在满足</w:t>
      </w:r>
      <w:r>
        <w:rPr>
          <w:rFonts w:hint="eastAsia" w:ascii="Times New Roman" w:hAnsi="Times New Roman"/>
          <w:highlight w:val="none"/>
          <w:lang w:val="en-US" w:eastAsia="zh-CN"/>
        </w:rPr>
        <w:t>施工BIM</w:t>
      </w:r>
      <w:r>
        <w:rPr>
          <w:rFonts w:hint="default" w:ascii="Times New Roman" w:hAnsi="Times New Roman"/>
          <w:highlight w:val="none"/>
          <w:lang w:val="en-US" w:eastAsia="zh-CN"/>
        </w:rPr>
        <w:t>应用需求的前提下，应选取较低等级的几何表达精度；</w:t>
      </w:r>
    </w:p>
    <w:p w14:paraId="19CD23AC">
      <w:pPr>
        <w:pStyle w:val="38"/>
        <w:keepNext w:val="0"/>
        <w:keepLines w:val="0"/>
        <w:pageBreakBefore w:val="0"/>
        <w:widowControl w:val="0"/>
        <w:numPr>
          <w:ilvl w:val="0"/>
          <w:numId w:val="20"/>
        </w:numPr>
        <w:kinsoku/>
        <w:wordWrap/>
        <w:overflowPunct/>
        <w:topLinePunct w:val="0"/>
        <w:autoSpaceDE/>
        <w:autoSpaceDN/>
        <w:bidi w:val="0"/>
        <w:adjustRightInd/>
        <w:snapToGrid/>
        <w:ind w:left="0" w:leftChars="0" w:firstLine="480" w:firstLineChars="200"/>
        <w:textAlignment w:val="auto"/>
        <w:rPr>
          <w:rFonts w:hint="default" w:ascii="Times New Roman" w:hAnsi="Times New Roman"/>
          <w:highlight w:val="none"/>
          <w:lang w:val="en-US" w:eastAsia="zh-CN"/>
        </w:rPr>
      </w:pPr>
      <w:r>
        <w:rPr>
          <w:rFonts w:hint="default" w:ascii="Times New Roman" w:hAnsi="Times New Roman"/>
          <w:highlight w:val="none"/>
          <w:lang w:val="en-US" w:eastAsia="zh-CN"/>
        </w:rPr>
        <w:t>不同的模型单元可选取不同的几何表达精度。</w:t>
      </w:r>
    </w:p>
    <w:p w14:paraId="2E9CB771">
      <w:pPr>
        <w:pStyle w:val="38"/>
        <w:numPr>
          <w:ilvl w:val="0"/>
          <w:numId w:val="19"/>
        </w:numPr>
        <w:bidi w:val="0"/>
        <w:ind w:left="0" w:leftChars="0" w:firstLine="0" w:firstLineChars="0"/>
        <w:rPr>
          <w:rFonts w:hint="eastAsia"/>
          <w:lang w:val="en-US" w:eastAsia="zh-CN"/>
        </w:rPr>
      </w:pPr>
      <w:r>
        <w:rPr>
          <w:rFonts w:hint="eastAsia"/>
          <w:lang w:val="en-US" w:eastAsia="zh-CN"/>
        </w:rPr>
        <w:t>施工模型根据模型单元几何信息的不同，几何表达精度的等级划分应符合表4.3.3的规定。建筑、结构、管道、通风空调、电气、自动化控制仪表、机械设备专业的模型单元几何表达精度可按本标准附录A的规定采用。</w:t>
      </w:r>
    </w:p>
    <w:p w14:paraId="1825525F">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eastAsia="宋体"/>
          <w:b/>
          <w:bCs/>
          <w:sz w:val="21"/>
          <w:szCs w:val="21"/>
          <w:lang w:val="en-US" w:eastAsia="zh-CN"/>
        </w:rPr>
      </w:pPr>
      <w:r>
        <w:rPr>
          <w:rFonts w:hint="eastAsia"/>
          <w:b/>
          <w:bCs/>
          <w:sz w:val="21"/>
          <w:szCs w:val="21"/>
          <w:lang w:val="en-US" w:eastAsia="zh-CN"/>
        </w:rPr>
        <w:t>表4.3.3  几何表达精度的等级划分</w:t>
      </w:r>
    </w:p>
    <w:tbl>
      <w:tblPr>
        <w:tblStyle w:val="29"/>
        <w:tblW w:w="4998"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autofit"/>
        <w:tblCellMar>
          <w:top w:w="0" w:type="dxa"/>
          <w:left w:w="108" w:type="dxa"/>
          <w:bottom w:w="0" w:type="dxa"/>
          <w:right w:w="108" w:type="dxa"/>
        </w:tblCellMar>
      </w:tblPr>
      <w:tblGrid>
        <w:gridCol w:w="2061"/>
        <w:gridCol w:w="1031"/>
        <w:gridCol w:w="2713"/>
        <w:gridCol w:w="2714"/>
      </w:tblGrid>
      <w:tr w14:paraId="38FEEAFA">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tblHeader/>
          <w:jc w:val="center"/>
        </w:trPr>
        <w:tc>
          <w:tcPr>
            <w:tcW w:w="1209" w:type="pct"/>
            <w:tcBorders>
              <w:tl2br w:val="nil"/>
              <w:tr2bl w:val="nil"/>
            </w:tcBorders>
            <w:vAlign w:val="center"/>
          </w:tcPr>
          <w:p w14:paraId="053DEAD1">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等级</w:t>
            </w:r>
          </w:p>
        </w:tc>
        <w:tc>
          <w:tcPr>
            <w:tcW w:w="605" w:type="pct"/>
            <w:tcBorders>
              <w:tl2br w:val="nil"/>
              <w:tr2bl w:val="nil"/>
            </w:tcBorders>
            <w:vAlign w:val="center"/>
          </w:tcPr>
          <w:p w14:paraId="462C76B8">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代号</w:t>
            </w:r>
          </w:p>
        </w:tc>
        <w:tc>
          <w:tcPr>
            <w:tcW w:w="1592" w:type="pct"/>
            <w:tcBorders>
              <w:tl2br w:val="nil"/>
              <w:tr2bl w:val="nil"/>
            </w:tcBorders>
            <w:vAlign w:val="center"/>
          </w:tcPr>
          <w:p w14:paraId="436FD4DB">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几何表达精度要求</w:t>
            </w:r>
          </w:p>
        </w:tc>
        <w:tc>
          <w:tcPr>
            <w:tcW w:w="1592" w:type="pct"/>
            <w:tcBorders>
              <w:tl2br w:val="nil"/>
              <w:tr2bl w:val="nil"/>
            </w:tcBorders>
            <w:vAlign w:val="center"/>
          </w:tcPr>
          <w:p w14:paraId="3464B1A8">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说明</w:t>
            </w:r>
          </w:p>
        </w:tc>
      </w:tr>
      <w:tr w14:paraId="34BD23B9">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209" w:type="pct"/>
            <w:tcBorders>
              <w:tl2br w:val="nil"/>
              <w:tr2bl w:val="nil"/>
            </w:tcBorders>
            <w:vAlign w:val="center"/>
          </w:tcPr>
          <w:p w14:paraId="6684C91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1级几何表达精度</w:t>
            </w:r>
          </w:p>
        </w:tc>
        <w:tc>
          <w:tcPr>
            <w:tcW w:w="605" w:type="pct"/>
            <w:tcBorders>
              <w:tl2br w:val="nil"/>
              <w:tr2bl w:val="nil"/>
            </w:tcBorders>
            <w:vAlign w:val="center"/>
          </w:tcPr>
          <w:p w14:paraId="6148B855">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G1</w:t>
            </w:r>
          </w:p>
        </w:tc>
        <w:tc>
          <w:tcPr>
            <w:tcW w:w="1592" w:type="pct"/>
            <w:tcBorders>
              <w:tl2br w:val="nil"/>
              <w:tr2bl w:val="nil"/>
            </w:tcBorders>
            <w:vAlign w:val="center"/>
          </w:tcPr>
          <w:p w14:paraId="7FDB519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满足二维化或者符号化识别需求的几何表达精度</w:t>
            </w:r>
          </w:p>
        </w:tc>
        <w:tc>
          <w:tcPr>
            <w:tcW w:w="1592" w:type="pct"/>
            <w:tcBorders>
              <w:tl2br w:val="nil"/>
              <w:tr2bl w:val="nil"/>
            </w:tcBorders>
            <w:vAlign w:val="center"/>
          </w:tcPr>
          <w:p w14:paraId="77949A77">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具备基本外轮廓形状，粗略的尺寸和形状</w:t>
            </w:r>
          </w:p>
        </w:tc>
      </w:tr>
      <w:tr w14:paraId="7038F2E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209" w:type="pct"/>
            <w:tcBorders>
              <w:tl2br w:val="nil"/>
              <w:tr2bl w:val="nil"/>
            </w:tcBorders>
            <w:vAlign w:val="center"/>
          </w:tcPr>
          <w:p w14:paraId="039E7D8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2级几何表达精度</w:t>
            </w:r>
          </w:p>
        </w:tc>
        <w:tc>
          <w:tcPr>
            <w:tcW w:w="605" w:type="pct"/>
            <w:tcBorders>
              <w:tl2br w:val="nil"/>
              <w:tr2bl w:val="nil"/>
            </w:tcBorders>
            <w:vAlign w:val="center"/>
          </w:tcPr>
          <w:p w14:paraId="6FAC24A1">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G2</w:t>
            </w:r>
          </w:p>
        </w:tc>
        <w:tc>
          <w:tcPr>
            <w:tcW w:w="1592" w:type="pct"/>
            <w:tcBorders>
              <w:tl2br w:val="nil"/>
              <w:tr2bl w:val="nil"/>
            </w:tcBorders>
            <w:vAlign w:val="center"/>
          </w:tcPr>
          <w:p w14:paraId="15D8634D">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满足空间占位、主要颜色等粗略识别需求的几何表达精度</w:t>
            </w:r>
          </w:p>
        </w:tc>
        <w:tc>
          <w:tcPr>
            <w:tcW w:w="1592" w:type="pct"/>
            <w:tcBorders>
              <w:tl2br w:val="nil"/>
              <w:tr2bl w:val="nil"/>
            </w:tcBorders>
            <w:vAlign w:val="center"/>
          </w:tcPr>
          <w:p w14:paraId="5D70389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满足空间占位近似几何尺寸，形状和方向，能够反映物体本身大致的几何特性；主要外观尺寸不得变更，细部尺寸可调整</w:t>
            </w:r>
          </w:p>
        </w:tc>
      </w:tr>
      <w:tr w14:paraId="4D18A8C7">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209" w:type="pct"/>
            <w:tcBorders>
              <w:tl2br w:val="nil"/>
              <w:tr2bl w:val="nil"/>
            </w:tcBorders>
            <w:vAlign w:val="center"/>
          </w:tcPr>
          <w:p w14:paraId="35D9090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3级几何表达精度</w:t>
            </w:r>
          </w:p>
        </w:tc>
        <w:tc>
          <w:tcPr>
            <w:tcW w:w="605" w:type="pct"/>
            <w:tcBorders>
              <w:tl2br w:val="nil"/>
              <w:tr2bl w:val="nil"/>
            </w:tcBorders>
            <w:vAlign w:val="center"/>
          </w:tcPr>
          <w:p w14:paraId="7DF3F75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G3</w:t>
            </w:r>
          </w:p>
        </w:tc>
        <w:tc>
          <w:tcPr>
            <w:tcW w:w="1592" w:type="pct"/>
            <w:tcBorders>
              <w:tl2br w:val="nil"/>
              <w:tr2bl w:val="nil"/>
            </w:tcBorders>
            <w:vAlign w:val="center"/>
          </w:tcPr>
          <w:p w14:paraId="4CAF09E0">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满足建造安装流程、采购等精细识别需求的几何表达精度</w:t>
            </w:r>
          </w:p>
        </w:tc>
        <w:tc>
          <w:tcPr>
            <w:tcW w:w="1592" w:type="pct"/>
            <w:tcBorders>
              <w:tl2br w:val="nil"/>
              <w:tr2bl w:val="nil"/>
            </w:tcBorders>
            <w:vAlign w:val="center"/>
          </w:tcPr>
          <w:p w14:paraId="081A503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物体主要部分必须在几何上表述准确，能够反映物体的基本外形，保证施工模拟和碰撞检查中不产生错误判断</w:t>
            </w:r>
          </w:p>
        </w:tc>
      </w:tr>
      <w:tr w14:paraId="29CD11A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209" w:type="pct"/>
            <w:tcBorders>
              <w:tl2br w:val="nil"/>
              <w:tr2bl w:val="nil"/>
            </w:tcBorders>
            <w:vAlign w:val="center"/>
          </w:tcPr>
          <w:p w14:paraId="2127CC80">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4级几何表达精度</w:t>
            </w:r>
          </w:p>
        </w:tc>
        <w:tc>
          <w:tcPr>
            <w:tcW w:w="605" w:type="pct"/>
            <w:tcBorders>
              <w:tl2br w:val="nil"/>
              <w:tr2bl w:val="nil"/>
            </w:tcBorders>
            <w:vAlign w:val="center"/>
          </w:tcPr>
          <w:p w14:paraId="2F1FC0D0">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G4</w:t>
            </w:r>
          </w:p>
        </w:tc>
        <w:tc>
          <w:tcPr>
            <w:tcW w:w="1592" w:type="pct"/>
            <w:tcBorders>
              <w:tl2br w:val="nil"/>
              <w:tr2bl w:val="nil"/>
            </w:tcBorders>
            <w:vAlign w:val="center"/>
          </w:tcPr>
          <w:p w14:paraId="7B75389C">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满足高精度渲染展示、产品管理、制造加工准备等高精度识别需求的几何表达精度</w:t>
            </w:r>
          </w:p>
        </w:tc>
        <w:tc>
          <w:tcPr>
            <w:tcW w:w="1592" w:type="pct"/>
            <w:tcBorders>
              <w:tl2br w:val="nil"/>
              <w:tr2bl w:val="nil"/>
            </w:tcBorders>
            <w:vAlign w:val="center"/>
          </w:tcPr>
          <w:p w14:paraId="3BD56DC1">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10" w:firstLineChars="1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详细的模型实体，最终确定模型尺寸</w:t>
            </w:r>
          </w:p>
        </w:tc>
      </w:tr>
    </w:tbl>
    <w:p w14:paraId="16F81ECF">
      <w:pPr>
        <w:pStyle w:val="38"/>
        <w:numPr>
          <w:ilvl w:val="0"/>
          <w:numId w:val="19"/>
        </w:numPr>
        <w:bidi w:val="0"/>
        <w:ind w:left="0" w:leftChars="0" w:firstLine="0" w:firstLineChars="0"/>
        <w:rPr>
          <w:rFonts w:hint="eastAsia"/>
          <w:lang w:val="en-US" w:eastAsia="zh-CN"/>
        </w:rPr>
      </w:pPr>
      <w:r>
        <w:rPr>
          <w:rFonts w:hint="eastAsia"/>
          <w:lang w:val="en-US" w:eastAsia="zh-CN"/>
        </w:rPr>
        <w:t>模型单元的信息深度应符合下列规定：</w:t>
      </w:r>
    </w:p>
    <w:p w14:paraId="4D0389DA">
      <w:pPr>
        <w:pStyle w:val="38"/>
        <w:keepNext w:val="0"/>
        <w:keepLines w:val="0"/>
        <w:pageBreakBefore w:val="0"/>
        <w:widowControl w:val="0"/>
        <w:numPr>
          <w:ilvl w:val="0"/>
          <w:numId w:val="2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highlight w:val="none"/>
          <w:lang w:val="en-US" w:eastAsia="zh-CN"/>
        </w:rPr>
      </w:pPr>
      <w:r>
        <w:rPr>
          <w:rFonts w:hint="eastAsia" w:ascii="Times New Roman" w:hAnsi="Times New Roman"/>
          <w:highlight w:val="none"/>
          <w:lang w:val="en-US" w:eastAsia="zh-CN"/>
        </w:rPr>
        <w:t>应选取适宜的信息深度体现模型单元的属性信息；</w:t>
      </w:r>
    </w:p>
    <w:p w14:paraId="5F6772DA">
      <w:pPr>
        <w:pStyle w:val="38"/>
        <w:keepNext w:val="0"/>
        <w:keepLines w:val="0"/>
        <w:pageBreakBefore w:val="0"/>
        <w:widowControl w:val="0"/>
        <w:numPr>
          <w:ilvl w:val="0"/>
          <w:numId w:val="2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highlight w:val="none"/>
          <w:lang w:val="en-US" w:eastAsia="zh-CN"/>
        </w:rPr>
      </w:pPr>
      <w:r>
        <w:rPr>
          <w:rFonts w:hint="eastAsia" w:ascii="Times New Roman" w:hAnsi="Times New Roman"/>
          <w:highlight w:val="none"/>
          <w:lang w:val="en-US" w:eastAsia="zh-CN"/>
        </w:rPr>
        <w:t>属性应包括中文字段名称、编码、数据类型、数据格式、计量单位、值域、约束条件；</w:t>
      </w:r>
    </w:p>
    <w:p w14:paraId="7CB31FD0">
      <w:pPr>
        <w:pStyle w:val="38"/>
        <w:keepNext w:val="0"/>
        <w:keepLines w:val="0"/>
        <w:pageBreakBefore w:val="0"/>
        <w:widowControl w:val="0"/>
        <w:numPr>
          <w:ilvl w:val="0"/>
          <w:numId w:val="2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highlight w:val="none"/>
          <w:lang w:val="en-US" w:eastAsia="zh-CN"/>
        </w:rPr>
      </w:pPr>
      <w:r>
        <w:rPr>
          <w:rFonts w:hint="eastAsia" w:ascii="Times New Roman" w:hAnsi="Times New Roman"/>
          <w:highlight w:val="none"/>
          <w:lang w:val="en-US" w:eastAsia="zh-CN"/>
        </w:rPr>
        <w:t>属性值应符合下列规定：</w:t>
      </w:r>
    </w:p>
    <w:p w14:paraId="5B41BC77">
      <w:pPr>
        <w:pStyle w:val="38"/>
        <w:keepNext w:val="0"/>
        <w:keepLines w:val="0"/>
        <w:pageBreakBefore w:val="0"/>
        <w:widowControl w:val="0"/>
        <w:numPr>
          <w:ilvl w:val="0"/>
          <w:numId w:val="22"/>
        </w:numPr>
        <w:kinsoku/>
        <w:wordWrap/>
        <w:overflowPunct/>
        <w:topLinePunct w:val="0"/>
        <w:autoSpaceDE/>
        <w:autoSpaceDN/>
        <w:bidi w:val="0"/>
        <w:adjustRightInd/>
        <w:snapToGrid/>
        <w:ind w:left="1059" w:leftChars="300" w:hanging="429" w:hangingChars="179"/>
        <w:textAlignment w:val="auto"/>
        <w:rPr>
          <w:rFonts w:hint="eastAsia" w:ascii="Times New Roman" w:hAnsi="Times New Roman"/>
          <w:lang w:val="en-US" w:eastAsia="zh-CN"/>
        </w:rPr>
      </w:pPr>
      <w:r>
        <w:rPr>
          <w:rFonts w:hint="eastAsia" w:ascii="Times New Roman" w:hAnsi="Times New Roman"/>
          <w:lang w:val="en-US" w:eastAsia="zh-CN"/>
        </w:rPr>
        <w:t>应符合唯一性原则，即属性值和属性应一一对应，在单个应用场景中属性值应唯一；</w:t>
      </w:r>
    </w:p>
    <w:p w14:paraId="3B3F1633">
      <w:pPr>
        <w:pStyle w:val="38"/>
        <w:keepNext w:val="0"/>
        <w:keepLines w:val="0"/>
        <w:pageBreakBefore w:val="0"/>
        <w:widowControl w:val="0"/>
        <w:numPr>
          <w:ilvl w:val="0"/>
          <w:numId w:val="22"/>
        </w:numPr>
        <w:kinsoku/>
        <w:wordWrap/>
        <w:overflowPunct/>
        <w:topLinePunct w:val="0"/>
        <w:autoSpaceDE/>
        <w:autoSpaceDN/>
        <w:bidi w:val="0"/>
        <w:adjustRightInd/>
        <w:snapToGrid/>
        <w:ind w:left="1059" w:leftChars="300" w:hanging="429" w:hangingChars="179"/>
        <w:textAlignment w:val="auto"/>
        <w:rPr>
          <w:rFonts w:hint="eastAsia" w:ascii="Times New Roman" w:hAnsi="Times New Roman"/>
          <w:lang w:val="en-US" w:eastAsia="zh-CN"/>
        </w:rPr>
      </w:pPr>
      <w:r>
        <w:rPr>
          <w:rFonts w:hint="eastAsia" w:ascii="Times New Roman" w:hAnsi="Times New Roman"/>
          <w:lang w:val="en-US" w:eastAsia="zh-CN"/>
        </w:rPr>
        <w:t>应符合一致性原则，即同一类型的属性、格式和精细度应一致。</w:t>
      </w:r>
    </w:p>
    <w:p w14:paraId="332ABD5C">
      <w:pPr>
        <w:pStyle w:val="38"/>
        <w:numPr>
          <w:ilvl w:val="0"/>
          <w:numId w:val="19"/>
        </w:numPr>
        <w:bidi w:val="0"/>
        <w:ind w:left="0" w:leftChars="0" w:firstLine="0" w:firstLineChars="0"/>
        <w:rPr>
          <w:rFonts w:hint="eastAsia"/>
          <w:lang w:val="en-US" w:eastAsia="zh-CN"/>
        </w:rPr>
      </w:pPr>
      <w:r>
        <w:rPr>
          <w:rFonts w:hint="eastAsia"/>
          <w:lang w:val="en-US" w:eastAsia="zh-CN"/>
        </w:rPr>
        <w:t>施工模型根据模型单元非几何信息的不同，信息深度等级的划分应符合表4.3.5的规定，每个信息深度等级对应的属性信息可按本标准附录B的规定采用。</w:t>
      </w:r>
    </w:p>
    <w:p w14:paraId="7DD91E33">
      <w:pPr>
        <w:pStyle w:val="38"/>
        <w:numPr>
          <w:ilvl w:val="0"/>
          <w:numId w:val="0"/>
        </w:numPr>
        <w:tabs>
          <w:tab w:val="left" w:pos="0"/>
        </w:tabs>
        <w:bidi w:val="0"/>
        <w:ind w:leftChars="0"/>
        <w:rPr>
          <w:rFonts w:hint="eastAsia"/>
          <w:lang w:val="en-US" w:eastAsia="zh-CN"/>
        </w:rPr>
      </w:pPr>
    </w:p>
    <w:p w14:paraId="5814D8AE">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表4.3.5  信息深度等级的划分</w:t>
      </w:r>
    </w:p>
    <w:tbl>
      <w:tblPr>
        <w:tblStyle w:val="2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32"/>
        <w:gridCol w:w="1155"/>
        <w:gridCol w:w="4932"/>
      </w:tblGrid>
      <w:tr w14:paraId="62DCAB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7" w:type="pct"/>
            <w:tcBorders>
              <w:tl2br w:val="nil"/>
              <w:tr2bl w:val="nil"/>
            </w:tcBorders>
            <w:vAlign w:val="center"/>
          </w:tcPr>
          <w:p w14:paraId="3E05C3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等级</w:t>
            </w:r>
          </w:p>
        </w:tc>
        <w:tc>
          <w:tcPr>
            <w:tcW w:w="678" w:type="pct"/>
            <w:tcBorders>
              <w:tl2br w:val="nil"/>
              <w:tr2bl w:val="nil"/>
            </w:tcBorders>
            <w:vAlign w:val="center"/>
          </w:tcPr>
          <w:p w14:paraId="373531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代号</w:t>
            </w:r>
          </w:p>
        </w:tc>
        <w:tc>
          <w:tcPr>
            <w:tcW w:w="2894" w:type="pct"/>
            <w:tcBorders>
              <w:tl2br w:val="nil"/>
              <w:tr2bl w:val="nil"/>
            </w:tcBorders>
            <w:vAlign w:val="center"/>
          </w:tcPr>
          <w:p w14:paraId="7441A8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等级要求</w:t>
            </w:r>
          </w:p>
        </w:tc>
      </w:tr>
      <w:tr w14:paraId="1CAE72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427" w:type="pct"/>
            <w:tcBorders>
              <w:tl2br w:val="nil"/>
              <w:tr2bl w:val="nil"/>
            </w:tcBorders>
            <w:vAlign w:val="center"/>
          </w:tcPr>
          <w:p w14:paraId="36B961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1级信息深度</w:t>
            </w:r>
          </w:p>
        </w:tc>
        <w:tc>
          <w:tcPr>
            <w:tcW w:w="678" w:type="pct"/>
            <w:tcBorders>
              <w:tl2br w:val="nil"/>
              <w:tr2bl w:val="nil"/>
            </w:tcBorders>
            <w:vAlign w:val="center"/>
          </w:tcPr>
          <w:p w14:paraId="1D6627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N1</w:t>
            </w:r>
          </w:p>
        </w:tc>
        <w:tc>
          <w:tcPr>
            <w:tcW w:w="2894" w:type="pct"/>
            <w:tcBorders>
              <w:tl2br w:val="nil"/>
              <w:tr2bl w:val="nil"/>
            </w:tcBorders>
            <w:vAlign w:val="center"/>
          </w:tcPr>
          <w:p w14:paraId="1AC72923">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宜包含模型单元的身份描述，项目信息、组织角色等信息</w:t>
            </w:r>
          </w:p>
        </w:tc>
      </w:tr>
      <w:tr w14:paraId="5C68BF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427" w:type="pct"/>
            <w:tcBorders>
              <w:tl2br w:val="nil"/>
              <w:tr2bl w:val="nil"/>
            </w:tcBorders>
            <w:vAlign w:val="center"/>
          </w:tcPr>
          <w:p w14:paraId="2CA983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2级信息深度</w:t>
            </w:r>
          </w:p>
        </w:tc>
        <w:tc>
          <w:tcPr>
            <w:tcW w:w="678" w:type="pct"/>
            <w:tcBorders>
              <w:tl2br w:val="nil"/>
              <w:tr2bl w:val="nil"/>
            </w:tcBorders>
            <w:vAlign w:val="center"/>
          </w:tcPr>
          <w:p w14:paraId="6D29BD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N2</w:t>
            </w:r>
          </w:p>
        </w:tc>
        <w:tc>
          <w:tcPr>
            <w:tcW w:w="2894" w:type="pct"/>
            <w:tcBorders>
              <w:tl2br w:val="nil"/>
              <w:tr2bl w:val="nil"/>
            </w:tcBorders>
            <w:vAlign w:val="center"/>
          </w:tcPr>
          <w:p w14:paraId="51AD455E">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宜包含和补充N1等级信息，增加实体系统关系、组成及材质，性能或属性等信息</w:t>
            </w:r>
          </w:p>
        </w:tc>
      </w:tr>
      <w:tr w14:paraId="3D6E3F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427" w:type="pct"/>
            <w:tcBorders>
              <w:tl2br w:val="nil"/>
              <w:tr2bl w:val="nil"/>
            </w:tcBorders>
            <w:vAlign w:val="center"/>
          </w:tcPr>
          <w:p w14:paraId="10C6FD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3级信息深度</w:t>
            </w:r>
          </w:p>
        </w:tc>
        <w:tc>
          <w:tcPr>
            <w:tcW w:w="678" w:type="pct"/>
            <w:tcBorders>
              <w:tl2br w:val="nil"/>
              <w:tr2bl w:val="nil"/>
            </w:tcBorders>
            <w:vAlign w:val="center"/>
          </w:tcPr>
          <w:p w14:paraId="222C6B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N3</w:t>
            </w:r>
          </w:p>
        </w:tc>
        <w:tc>
          <w:tcPr>
            <w:tcW w:w="2894" w:type="pct"/>
            <w:tcBorders>
              <w:tl2br w:val="nil"/>
              <w:tr2bl w:val="nil"/>
            </w:tcBorders>
            <w:vAlign w:val="center"/>
          </w:tcPr>
          <w:p w14:paraId="05986D7F">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宜包含和补充N2等级信息，增加生产信息、安装信息</w:t>
            </w:r>
          </w:p>
        </w:tc>
      </w:tr>
      <w:tr w14:paraId="6897FC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427" w:type="pct"/>
            <w:tcBorders>
              <w:tl2br w:val="nil"/>
              <w:tr2bl w:val="nil"/>
            </w:tcBorders>
            <w:vAlign w:val="center"/>
          </w:tcPr>
          <w:p w14:paraId="5BE87A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4级信息深度</w:t>
            </w:r>
          </w:p>
        </w:tc>
        <w:tc>
          <w:tcPr>
            <w:tcW w:w="678" w:type="pct"/>
            <w:tcBorders>
              <w:tl2br w:val="nil"/>
              <w:tr2bl w:val="nil"/>
            </w:tcBorders>
            <w:vAlign w:val="center"/>
          </w:tcPr>
          <w:p w14:paraId="0855AF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N4</w:t>
            </w:r>
          </w:p>
        </w:tc>
        <w:tc>
          <w:tcPr>
            <w:tcW w:w="2894" w:type="pct"/>
            <w:tcBorders>
              <w:tl2br w:val="nil"/>
              <w:tr2bl w:val="nil"/>
            </w:tcBorders>
            <w:vAlign w:val="center"/>
          </w:tcPr>
          <w:p w14:paraId="1517123A">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宜包含和补充N3等级信息，增加资产信息和维护信息</w:t>
            </w:r>
          </w:p>
        </w:tc>
      </w:tr>
    </w:tbl>
    <w:p w14:paraId="18CEA764">
      <w:pPr>
        <w:pStyle w:val="38"/>
        <w:numPr>
          <w:ilvl w:val="0"/>
          <w:numId w:val="19"/>
        </w:numPr>
        <w:bidi w:val="0"/>
        <w:ind w:left="0" w:leftChars="0" w:firstLine="0" w:firstLineChars="0"/>
        <w:rPr>
          <w:rFonts w:hint="eastAsia"/>
          <w:lang w:val="en-US" w:eastAsia="zh-CN"/>
        </w:rPr>
      </w:pPr>
      <w:r>
        <w:rPr>
          <w:rFonts w:hint="eastAsia"/>
          <w:lang w:val="en-US" w:eastAsia="zh-CN"/>
        </w:rPr>
        <w:t>施工图设计模型及施工模型的模型精细度代号应符合表4.3.6的规定。</w:t>
      </w:r>
    </w:p>
    <w:p w14:paraId="43C98ED3">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表4.3.6  施工图设计模型及施工模型的模型精细度代号</w:t>
      </w:r>
    </w:p>
    <w:tbl>
      <w:tblPr>
        <w:tblStyle w:val="29"/>
        <w:tblW w:w="4998"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autofit"/>
        <w:tblCellMar>
          <w:top w:w="0" w:type="dxa"/>
          <w:left w:w="108" w:type="dxa"/>
          <w:bottom w:w="0" w:type="dxa"/>
          <w:right w:w="108" w:type="dxa"/>
        </w:tblCellMar>
      </w:tblPr>
      <w:tblGrid>
        <w:gridCol w:w="1075"/>
        <w:gridCol w:w="2637"/>
        <w:gridCol w:w="1515"/>
        <w:gridCol w:w="3292"/>
      </w:tblGrid>
      <w:tr w14:paraId="1B08C58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tblHeader/>
          <w:jc w:val="center"/>
        </w:trPr>
        <w:tc>
          <w:tcPr>
            <w:tcW w:w="631" w:type="pct"/>
            <w:tcBorders>
              <w:tl2br w:val="nil"/>
              <w:tr2bl w:val="nil"/>
            </w:tcBorders>
            <w:vAlign w:val="center"/>
          </w:tcPr>
          <w:p w14:paraId="6363198B">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序号</w:t>
            </w:r>
          </w:p>
        </w:tc>
        <w:tc>
          <w:tcPr>
            <w:tcW w:w="1547" w:type="pct"/>
            <w:tcBorders>
              <w:tl2br w:val="nil"/>
              <w:tr2bl w:val="nil"/>
            </w:tcBorders>
            <w:vAlign w:val="center"/>
          </w:tcPr>
          <w:p w14:paraId="18C9F306">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名称</w:t>
            </w:r>
          </w:p>
        </w:tc>
        <w:tc>
          <w:tcPr>
            <w:tcW w:w="889" w:type="pct"/>
            <w:tcBorders>
              <w:tl2br w:val="nil"/>
              <w:tr2bl w:val="nil"/>
            </w:tcBorders>
            <w:vAlign w:val="center"/>
          </w:tcPr>
          <w:p w14:paraId="46E9C1AC">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代号</w:t>
            </w:r>
          </w:p>
        </w:tc>
        <w:tc>
          <w:tcPr>
            <w:tcW w:w="1931" w:type="pct"/>
            <w:tcBorders>
              <w:tl2br w:val="nil"/>
              <w:tr2bl w:val="nil"/>
            </w:tcBorders>
            <w:vAlign w:val="center"/>
          </w:tcPr>
          <w:p w14:paraId="2A14EC50">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形成阶段</w:t>
            </w:r>
          </w:p>
        </w:tc>
      </w:tr>
      <w:tr w14:paraId="3E3B953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631" w:type="pct"/>
            <w:tcBorders>
              <w:tl2br w:val="nil"/>
              <w:tr2bl w:val="nil"/>
            </w:tcBorders>
            <w:vAlign w:val="center"/>
          </w:tcPr>
          <w:p w14:paraId="542012E1">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1547" w:type="pct"/>
            <w:tcBorders>
              <w:tl2br w:val="nil"/>
              <w:tr2bl w:val="nil"/>
            </w:tcBorders>
            <w:vAlign w:val="center"/>
          </w:tcPr>
          <w:p w14:paraId="2E8EC05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施工图设计模型</w:t>
            </w:r>
          </w:p>
        </w:tc>
        <w:tc>
          <w:tcPr>
            <w:tcW w:w="889" w:type="pct"/>
            <w:tcBorders>
              <w:tl2br w:val="nil"/>
              <w:tr2bl w:val="nil"/>
            </w:tcBorders>
            <w:vAlign w:val="center"/>
          </w:tcPr>
          <w:p w14:paraId="3B1D4FF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LOD300</w:t>
            </w:r>
          </w:p>
        </w:tc>
        <w:tc>
          <w:tcPr>
            <w:tcW w:w="1931" w:type="pct"/>
            <w:tcBorders>
              <w:tl2br w:val="nil"/>
              <w:tr2bl w:val="nil"/>
            </w:tcBorders>
            <w:vAlign w:val="center"/>
          </w:tcPr>
          <w:p w14:paraId="687051D7">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施工图设计阶段</w:t>
            </w:r>
          </w:p>
        </w:tc>
      </w:tr>
      <w:tr w14:paraId="629374B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631" w:type="pct"/>
            <w:tcBorders>
              <w:tl2br w:val="nil"/>
              <w:tr2bl w:val="nil"/>
            </w:tcBorders>
            <w:vAlign w:val="center"/>
          </w:tcPr>
          <w:p w14:paraId="35508667">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w:t>
            </w:r>
          </w:p>
        </w:tc>
        <w:tc>
          <w:tcPr>
            <w:tcW w:w="1547" w:type="pct"/>
            <w:tcBorders>
              <w:tl2br w:val="nil"/>
              <w:tr2bl w:val="nil"/>
            </w:tcBorders>
            <w:vAlign w:val="center"/>
          </w:tcPr>
          <w:p w14:paraId="4E3C93A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深化设计模型</w:t>
            </w:r>
          </w:p>
        </w:tc>
        <w:tc>
          <w:tcPr>
            <w:tcW w:w="889" w:type="pct"/>
            <w:tcBorders>
              <w:tl2br w:val="nil"/>
              <w:tr2bl w:val="nil"/>
            </w:tcBorders>
            <w:vAlign w:val="center"/>
          </w:tcPr>
          <w:p w14:paraId="743CC1C9">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LOD350</w:t>
            </w:r>
          </w:p>
        </w:tc>
        <w:tc>
          <w:tcPr>
            <w:tcW w:w="1931" w:type="pct"/>
            <w:tcBorders>
              <w:tl2br w:val="nil"/>
              <w:tr2bl w:val="nil"/>
            </w:tcBorders>
            <w:vAlign w:val="center"/>
          </w:tcPr>
          <w:p w14:paraId="6B6469CA">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深化设计阶段</w:t>
            </w:r>
          </w:p>
        </w:tc>
      </w:tr>
      <w:tr w14:paraId="24A548A9">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631" w:type="pct"/>
            <w:tcBorders>
              <w:tl2br w:val="nil"/>
              <w:tr2bl w:val="nil"/>
            </w:tcBorders>
            <w:vAlign w:val="center"/>
          </w:tcPr>
          <w:p w14:paraId="44257AB1">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1547" w:type="pct"/>
            <w:tcBorders>
              <w:tl2br w:val="nil"/>
              <w:tr2bl w:val="nil"/>
            </w:tcBorders>
            <w:vAlign w:val="center"/>
          </w:tcPr>
          <w:p w14:paraId="057C6FA5">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施工过程模型</w:t>
            </w:r>
          </w:p>
        </w:tc>
        <w:tc>
          <w:tcPr>
            <w:tcW w:w="889" w:type="pct"/>
            <w:tcBorders>
              <w:tl2br w:val="nil"/>
              <w:tr2bl w:val="nil"/>
            </w:tcBorders>
            <w:vAlign w:val="center"/>
          </w:tcPr>
          <w:p w14:paraId="5A22755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LOD400</w:t>
            </w:r>
          </w:p>
        </w:tc>
        <w:tc>
          <w:tcPr>
            <w:tcW w:w="1931" w:type="pct"/>
            <w:tcBorders>
              <w:tl2br w:val="nil"/>
              <w:tr2bl w:val="nil"/>
            </w:tcBorders>
            <w:vAlign w:val="center"/>
          </w:tcPr>
          <w:p w14:paraId="786B97B3">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施工实施阶段</w:t>
            </w:r>
          </w:p>
        </w:tc>
      </w:tr>
      <w:tr w14:paraId="7CAA129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631" w:type="pct"/>
            <w:tcBorders>
              <w:tl2br w:val="nil"/>
              <w:tr2bl w:val="nil"/>
            </w:tcBorders>
            <w:vAlign w:val="center"/>
          </w:tcPr>
          <w:p w14:paraId="4BEB1F9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w:t>
            </w:r>
          </w:p>
        </w:tc>
        <w:tc>
          <w:tcPr>
            <w:tcW w:w="1547" w:type="pct"/>
            <w:tcBorders>
              <w:tl2br w:val="nil"/>
              <w:tr2bl w:val="nil"/>
            </w:tcBorders>
            <w:vAlign w:val="center"/>
          </w:tcPr>
          <w:p w14:paraId="628B267A">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竣工交付模型</w:t>
            </w:r>
          </w:p>
        </w:tc>
        <w:tc>
          <w:tcPr>
            <w:tcW w:w="889" w:type="pct"/>
            <w:tcBorders>
              <w:tl2br w:val="nil"/>
              <w:tr2bl w:val="nil"/>
            </w:tcBorders>
            <w:vAlign w:val="center"/>
          </w:tcPr>
          <w:p w14:paraId="2B23F011">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LOD500</w:t>
            </w:r>
          </w:p>
        </w:tc>
        <w:tc>
          <w:tcPr>
            <w:tcW w:w="1931" w:type="pct"/>
            <w:tcBorders>
              <w:tl2br w:val="nil"/>
              <w:tr2bl w:val="nil"/>
            </w:tcBorders>
            <w:vAlign w:val="center"/>
          </w:tcPr>
          <w:p w14:paraId="73A5E12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竣工交付阶段</w:t>
            </w:r>
          </w:p>
        </w:tc>
      </w:tr>
    </w:tbl>
    <w:p w14:paraId="7A3C8D70">
      <w:pPr>
        <w:pStyle w:val="38"/>
        <w:numPr>
          <w:ilvl w:val="0"/>
          <w:numId w:val="19"/>
        </w:numPr>
        <w:bidi w:val="0"/>
        <w:ind w:left="0" w:leftChars="0" w:firstLine="0" w:firstLineChars="0"/>
        <w:rPr>
          <w:rFonts w:hint="eastAsia" w:ascii="Times New Roman" w:hAnsi="Times New Roman" w:eastAsia="宋体"/>
          <w:highlight w:val="none"/>
        </w:rPr>
      </w:pPr>
      <w:r>
        <w:rPr>
          <w:rFonts w:hint="eastAsia"/>
          <w:lang w:val="en-US" w:eastAsia="zh-CN"/>
        </w:rPr>
        <w:t>深化设计模型和施工过程模型的精细度可按照本标准附录C的规定选用。竣工交付模型的几何表达精度不宜低于施工过程模型</w:t>
      </w:r>
      <w:r>
        <w:rPr>
          <w:rFonts w:hint="eastAsia"/>
          <w:highlight w:val="none"/>
          <w:lang w:val="en-US" w:eastAsia="zh-CN"/>
        </w:rPr>
        <w:t>，应在施工过程模型的基础上附加或关联相关交付信息和资料等非几何信息。</w:t>
      </w:r>
    </w:p>
    <w:p w14:paraId="6143E68C">
      <w:pPr>
        <w:pStyle w:val="38"/>
        <w:numPr>
          <w:ilvl w:val="0"/>
          <w:numId w:val="19"/>
        </w:numPr>
        <w:bidi w:val="0"/>
        <w:ind w:left="0" w:leftChars="0" w:firstLine="0" w:firstLineChars="0"/>
        <w:rPr>
          <w:rFonts w:hint="eastAsia" w:ascii="Times New Roman" w:hAnsi="Times New Roman" w:eastAsia="宋体"/>
          <w:highlight w:val="none"/>
        </w:rPr>
      </w:pPr>
      <w:r>
        <w:rPr>
          <w:rFonts w:hint="eastAsia" w:ascii="Times New Roman" w:hAnsi="Times New Roman" w:eastAsia="宋体"/>
          <w:highlight w:val="none"/>
        </w:rPr>
        <w:t>施工模型在满足模型精细度要求的前提下，可使用文档、图形、图像、视频等扩展信息。</w:t>
      </w:r>
    </w:p>
    <w:p w14:paraId="351725ED">
      <w:pPr>
        <w:rPr>
          <w:rFonts w:hint="eastAsia"/>
          <w:i/>
          <w:iCs/>
          <w:lang w:val="en-US" w:eastAsia="zh-CN"/>
        </w:rPr>
      </w:pPr>
      <w:r>
        <w:rPr>
          <w:rFonts w:hint="eastAsia"/>
          <w:i/>
          <w:iCs/>
          <w:lang w:val="en-US" w:eastAsia="zh-CN"/>
        </w:rPr>
        <w:br w:type="page"/>
      </w:r>
    </w:p>
    <w:p w14:paraId="79DD802B">
      <w:pPr>
        <w:pStyle w:val="2"/>
        <w:bidi w:val="0"/>
        <w:rPr>
          <w:rFonts w:hint="default"/>
          <w:lang w:val="en-US" w:eastAsia="zh-CN"/>
        </w:rPr>
      </w:pPr>
      <w:bookmarkStart w:id="84" w:name="_Toc25325"/>
      <w:bookmarkStart w:id="85" w:name="_Toc17074"/>
      <w:bookmarkStart w:id="86" w:name="_Toc30374"/>
      <w:bookmarkStart w:id="87" w:name="_Toc1199"/>
      <w:r>
        <w:rPr>
          <w:rFonts w:hint="eastAsia"/>
          <w:lang w:val="en-US" w:eastAsia="zh-CN"/>
        </w:rPr>
        <w:t>深化设计</w:t>
      </w:r>
      <w:bookmarkEnd w:id="84"/>
      <w:bookmarkEnd w:id="85"/>
      <w:bookmarkEnd w:id="86"/>
      <w:bookmarkEnd w:id="87"/>
    </w:p>
    <w:p w14:paraId="78BAD45E">
      <w:pPr>
        <w:pStyle w:val="3"/>
        <w:bidi w:val="0"/>
        <w:rPr>
          <w:rFonts w:hint="default"/>
          <w:lang w:val="en-US" w:eastAsia="zh-CN"/>
        </w:rPr>
      </w:pPr>
      <w:bookmarkStart w:id="88" w:name="_Toc26533"/>
      <w:bookmarkStart w:id="89" w:name="_Toc2373"/>
      <w:bookmarkStart w:id="90" w:name="_Toc20454"/>
      <w:bookmarkStart w:id="91" w:name="_Toc20513"/>
      <w:bookmarkStart w:id="92" w:name="_Toc402"/>
      <w:r>
        <w:rPr>
          <w:rFonts w:hint="eastAsia"/>
          <w:lang w:val="en-US" w:eastAsia="zh-CN"/>
        </w:rPr>
        <w:t>一般规定</w:t>
      </w:r>
      <w:bookmarkEnd w:id="88"/>
      <w:bookmarkEnd w:id="89"/>
      <w:bookmarkEnd w:id="90"/>
      <w:bookmarkEnd w:id="91"/>
      <w:bookmarkEnd w:id="92"/>
    </w:p>
    <w:p w14:paraId="230A15DD">
      <w:pPr>
        <w:pStyle w:val="38"/>
        <w:numPr>
          <w:ilvl w:val="0"/>
          <w:numId w:val="23"/>
        </w:numPr>
        <w:bidi w:val="0"/>
        <w:ind w:left="0" w:leftChars="0" w:firstLine="0" w:firstLineChars="0"/>
        <w:rPr>
          <w:rFonts w:hint="default" w:ascii="Times New Roman" w:hAnsi="Times New Roman" w:eastAsia="宋体"/>
          <w:lang w:val="en-US" w:eastAsia="zh-CN"/>
        </w:rPr>
      </w:pPr>
      <w:r>
        <w:rPr>
          <w:rFonts w:hint="eastAsia"/>
          <w:lang w:val="en-US" w:eastAsia="zh-CN"/>
        </w:rPr>
        <w:t>核岛安装工程中管道和通风空调专业的深化设计宜应用BIM。</w:t>
      </w:r>
    </w:p>
    <w:p w14:paraId="7D0E04CF">
      <w:pPr>
        <w:pStyle w:val="38"/>
        <w:numPr>
          <w:ilvl w:val="0"/>
          <w:numId w:val="23"/>
        </w:numPr>
        <w:bidi w:val="0"/>
        <w:ind w:left="0" w:leftChars="0" w:firstLine="0" w:firstLineChars="0"/>
        <w:rPr>
          <w:rFonts w:hint="default" w:ascii="Times New Roman" w:hAnsi="Times New Roman" w:eastAsia="宋体"/>
          <w:lang w:val="en-US" w:eastAsia="zh-CN"/>
        </w:rPr>
      </w:pPr>
      <w:r>
        <w:rPr>
          <w:rFonts w:hint="eastAsia"/>
          <w:lang w:val="en-US" w:eastAsia="zh-CN"/>
        </w:rPr>
        <w:t>应用</w:t>
      </w:r>
      <w:r>
        <w:rPr>
          <w:rFonts w:hint="default" w:ascii="Times New Roman" w:hAnsi="Times New Roman" w:eastAsia="宋体"/>
          <w:lang w:val="en-US" w:eastAsia="zh-CN"/>
        </w:rPr>
        <w:t>BIM</w:t>
      </w:r>
      <w:r>
        <w:rPr>
          <w:rFonts w:hint="eastAsia"/>
          <w:lang w:val="en-US" w:eastAsia="zh-CN"/>
        </w:rPr>
        <w:t>进行</w:t>
      </w:r>
      <w:r>
        <w:rPr>
          <w:rFonts w:hint="default" w:ascii="Times New Roman" w:hAnsi="Times New Roman" w:eastAsia="宋体"/>
          <w:lang w:val="en-US" w:eastAsia="zh-CN"/>
        </w:rPr>
        <w:t>深化设计宜制定</w:t>
      </w:r>
      <w:r>
        <w:rPr>
          <w:rFonts w:hint="eastAsia"/>
          <w:lang w:val="en-US" w:eastAsia="zh-CN"/>
        </w:rPr>
        <w:t>深化</w:t>
      </w:r>
      <w:r>
        <w:rPr>
          <w:rFonts w:hint="default" w:ascii="Times New Roman" w:hAnsi="Times New Roman" w:eastAsia="宋体"/>
          <w:lang w:val="en-US" w:eastAsia="zh-CN"/>
        </w:rPr>
        <w:t>设计流程。</w:t>
      </w:r>
    </w:p>
    <w:p w14:paraId="45F0CB46">
      <w:pPr>
        <w:pStyle w:val="38"/>
        <w:numPr>
          <w:ilvl w:val="0"/>
          <w:numId w:val="23"/>
        </w:numPr>
        <w:bidi w:val="0"/>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BIM深化设计流程宜包括创建深化设计模型、二次设计、模型校审、</w:t>
      </w:r>
      <w:r>
        <w:rPr>
          <w:rFonts w:hint="eastAsia"/>
          <w:highlight w:val="none"/>
          <w:lang w:val="en-US" w:eastAsia="zh-CN"/>
        </w:rPr>
        <w:t>工程量</w:t>
      </w:r>
      <w:r>
        <w:rPr>
          <w:rFonts w:hint="default" w:ascii="Times New Roman" w:hAnsi="Times New Roman" w:eastAsia="宋体"/>
          <w:lang w:val="en-US" w:eastAsia="zh-CN"/>
        </w:rPr>
        <w:t>统计、生成深化设计图、深化设计图校审及提交成果等。</w:t>
      </w:r>
    </w:p>
    <w:p w14:paraId="326E4A13">
      <w:pPr>
        <w:pStyle w:val="38"/>
        <w:numPr>
          <w:ilvl w:val="0"/>
          <w:numId w:val="23"/>
        </w:numPr>
        <w:bidi w:val="0"/>
        <w:ind w:left="0" w:leftChars="0" w:firstLine="0" w:firstLineChars="0"/>
        <w:rPr>
          <w:rFonts w:hint="default" w:ascii="Times New Roman" w:hAnsi="Times New Roman" w:eastAsia="宋体"/>
          <w:lang w:val="en-US" w:eastAsia="zh-CN"/>
        </w:rPr>
      </w:pPr>
      <w:r>
        <w:rPr>
          <w:rFonts w:hint="default" w:ascii="Times New Roman" w:hAnsi="Times New Roman" w:eastAsia="宋体"/>
          <w:lang w:val="en-US" w:eastAsia="zh-CN"/>
        </w:rPr>
        <w:t>深化设计BIM软件应具备空间协调、</w:t>
      </w:r>
      <w:r>
        <w:rPr>
          <w:rFonts w:hint="eastAsia"/>
          <w:highlight w:val="none"/>
          <w:lang w:val="en-US" w:eastAsia="zh-CN"/>
        </w:rPr>
        <w:t>工程量</w:t>
      </w:r>
      <w:r>
        <w:rPr>
          <w:rFonts w:hint="default" w:ascii="Times New Roman" w:hAnsi="Times New Roman" w:eastAsia="宋体"/>
          <w:lang w:val="en-US" w:eastAsia="zh-CN"/>
        </w:rPr>
        <w:t>统计、深化设计图和报表生成等功能。</w:t>
      </w:r>
    </w:p>
    <w:p w14:paraId="4BA1EE08">
      <w:pPr>
        <w:pStyle w:val="38"/>
        <w:numPr>
          <w:ilvl w:val="0"/>
          <w:numId w:val="23"/>
        </w:numPr>
        <w:bidi w:val="0"/>
        <w:ind w:left="0" w:leftChars="0" w:firstLine="0" w:firstLineChars="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深化设计图应包括二维图</w:t>
      </w:r>
      <w:r>
        <w:rPr>
          <w:rFonts w:hint="eastAsia"/>
          <w:color w:val="auto"/>
          <w:highlight w:val="none"/>
          <w:lang w:val="en-US" w:eastAsia="zh-CN"/>
        </w:rPr>
        <w:t>和必要的三维模型视图。</w:t>
      </w:r>
    </w:p>
    <w:p w14:paraId="42AC9445">
      <w:pPr>
        <w:pStyle w:val="3"/>
        <w:bidi w:val="0"/>
        <w:rPr>
          <w:rFonts w:hint="default"/>
          <w:lang w:val="en-US" w:eastAsia="zh-CN"/>
        </w:rPr>
      </w:pPr>
      <w:bookmarkStart w:id="93" w:name="_Toc26075"/>
      <w:bookmarkStart w:id="94" w:name="_Toc14454"/>
      <w:bookmarkStart w:id="95" w:name="_Toc9605"/>
      <w:bookmarkStart w:id="96" w:name="_Toc22619"/>
      <w:r>
        <w:rPr>
          <w:rFonts w:hint="eastAsia"/>
          <w:lang w:val="en-US" w:eastAsia="zh-CN"/>
        </w:rPr>
        <w:t>深化设计BIM应用原则</w:t>
      </w:r>
      <w:bookmarkEnd w:id="93"/>
      <w:bookmarkEnd w:id="94"/>
      <w:bookmarkEnd w:id="95"/>
      <w:bookmarkEnd w:id="96"/>
    </w:p>
    <w:p w14:paraId="7C104A1A">
      <w:pPr>
        <w:pStyle w:val="38"/>
        <w:numPr>
          <w:ilvl w:val="0"/>
          <w:numId w:val="24"/>
        </w:numPr>
        <w:bidi w:val="0"/>
        <w:ind w:left="0" w:leftChars="0" w:firstLine="0" w:firstLineChars="0"/>
        <w:rPr>
          <w:rFonts w:hint="eastAsia" w:ascii="Times New Roman" w:hAnsi="Times New Roman" w:eastAsia="宋体"/>
        </w:rPr>
      </w:pPr>
      <w:r>
        <w:rPr>
          <w:rFonts w:hint="eastAsia"/>
          <w:lang w:val="en-US" w:eastAsia="zh-CN"/>
        </w:rPr>
        <w:t>深化设计BIM应用，宜</w:t>
      </w:r>
      <w:r>
        <w:rPr>
          <w:rFonts w:hint="eastAsia" w:ascii="Times New Roman" w:hAnsi="Times New Roman" w:eastAsia="宋体"/>
        </w:rPr>
        <w:t>基于施工图设计模型或各专业设计文件创建深化设计模型，校核系统</w:t>
      </w:r>
      <w:r>
        <w:rPr>
          <w:rFonts w:hint="eastAsia"/>
          <w:lang w:val="en-US" w:eastAsia="zh-CN"/>
        </w:rPr>
        <w:t>布置</w:t>
      </w:r>
      <w:r>
        <w:rPr>
          <w:rFonts w:hint="eastAsia" w:ascii="Times New Roman" w:hAnsi="Times New Roman" w:eastAsia="宋体"/>
        </w:rPr>
        <w:t>合理性，输出深化设计图和</w:t>
      </w:r>
      <w:r>
        <w:rPr>
          <w:rFonts w:hint="eastAsia"/>
          <w:highlight w:val="none"/>
          <w:lang w:val="en-US" w:eastAsia="zh-CN"/>
        </w:rPr>
        <w:t>工程量</w:t>
      </w:r>
      <w:r>
        <w:rPr>
          <w:rFonts w:hint="eastAsia" w:ascii="Times New Roman" w:hAnsi="Times New Roman" w:eastAsia="宋体"/>
          <w:highlight w:val="none"/>
        </w:rPr>
        <w:t>清单</w:t>
      </w:r>
      <w:r>
        <w:rPr>
          <w:rFonts w:hint="eastAsia" w:ascii="Times New Roman" w:hAnsi="Times New Roman" w:eastAsia="宋体"/>
        </w:rPr>
        <w:t>等。</w:t>
      </w:r>
    </w:p>
    <w:p w14:paraId="09C606C0">
      <w:pPr>
        <w:pStyle w:val="38"/>
        <w:numPr>
          <w:ilvl w:val="0"/>
          <w:numId w:val="24"/>
        </w:numPr>
        <w:bidi w:val="0"/>
        <w:ind w:left="0" w:leftChars="0" w:firstLine="0" w:firstLineChars="0"/>
        <w:rPr>
          <w:rFonts w:hint="eastAsia" w:ascii="Times New Roman" w:hAnsi="Times New Roman" w:eastAsia="宋体"/>
          <w:highlight w:val="none"/>
        </w:rPr>
      </w:pPr>
      <w:r>
        <w:rPr>
          <w:rFonts w:hint="eastAsia" w:ascii="Times New Roman" w:hAnsi="Times New Roman" w:eastAsia="宋体"/>
          <w:highlight w:val="none"/>
        </w:rPr>
        <w:t>深化设计过程中，应在模型中补充或完善设计阶段未确定的设备、附件、末端等模型</w:t>
      </w:r>
      <w:r>
        <w:rPr>
          <w:rFonts w:hint="eastAsia"/>
          <w:highlight w:val="none"/>
          <w:lang w:val="en-US" w:eastAsia="zh-CN"/>
        </w:rPr>
        <w:t>单元</w:t>
      </w:r>
      <w:r>
        <w:rPr>
          <w:rFonts w:hint="eastAsia" w:ascii="Times New Roman" w:hAnsi="Times New Roman" w:eastAsia="宋体"/>
          <w:highlight w:val="none"/>
        </w:rPr>
        <w:t>。</w:t>
      </w:r>
    </w:p>
    <w:p w14:paraId="09E26E13">
      <w:pPr>
        <w:pStyle w:val="38"/>
        <w:numPr>
          <w:ilvl w:val="0"/>
          <w:numId w:val="24"/>
        </w:numPr>
        <w:bidi w:val="0"/>
        <w:ind w:left="0" w:leftChars="0" w:firstLine="0" w:firstLineChars="0"/>
        <w:rPr>
          <w:rFonts w:hint="eastAsia" w:ascii="Times New Roman" w:hAnsi="Times New Roman" w:eastAsia="宋体"/>
        </w:rPr>
      </w:pPr>
      <w:r>
        <w:rPr>
          <w:rFonts w:hint="eastAsia" w:ascii="Times New Roman" w:hAnsi="Times New Roman" w:eastAsia="宋体"/>
        </w:rPr>
        <w:t>深化设计模型应包括管道、</w:t>
      </w:r>
      <w:r>
        <w:rPr>
          <w:rFonts w:hint="eastAsia"/>
          <w:lang w:val="en-US" w:eastAsia="zh-CN"/>
        </w:rPr>
        <w:t>通风空调管线</w:t>
      </w:r>
      <w:r>
        <w:rPr>
          <w:rFonts w:hint="eastAsia" w:ascii="Times New Roman" w:hAnsi="Times New Roman" w:eastAsia="宋体"/>
        </w:rPr>
        <w:t>模型单元，</w:t>
      </w:r>
      <w:r>
        <w:rPr>
          <w:rFonts w:hint="eastAsia"/>
          <w:lang w:val="en-US" w:eastAsia="zh-CN"/>
        </w:rPr>
        <w:t>以及</w:t>
      </w:r>
      <w:r>
        <w:rPr>
          <w:rFonts w:hint="eastAsia" w:ascii="Times New Roman" w:hAnsi="Times New Roman" w:eastAsia="宋体"/>
        </w:rPr>
        <w:t>支吊架、减震设施、</w:t>
      </w:r>
      <w:r>
        <w:rPr>
          <w:rFonts w:hint="eastAsia"/>
          <w:lang w:val="en-US" w:eastAsia="zh-CN"/>
        </w:rPr>
        <w:t>贯穿件</w:t>
      </w:r>
      <w:r>
        <w:rPr>
          <w:rFonts w:hint="eastAsia" w:ascii="Times New Roman" w:hAnsi="Times New Roman" w:eastAsia="宋体"/>
        </w:rPr>
        <w:t>等</w:t>
      </w:r>
      <w:r>
        <w:rPr>
          <w:rFonts w:hint="eastAsia"/>
          <w:lang w:val="en-US" w:eastAsia="zh-CN"/>
        </w:rPr>
        <w:t>配套</w:t>
      </w:r>
      <w:r>
        <w:rPr>
          <w:rFonts w:hint="eastAsia" w:ascii="Times New Roman" w:hAnsi="Times New Roman" w:eastAsia="宋体"/>
        </w:rPr>
        <w:t>模型单元。</w:t>
      </w:r>
    </w:p>
    <w:p w14:paraId="1F077AA8">
      <w:pPr>
        <w:pStyle w:val="38"/>
        <w:numPr>
          <w:ilvl w:val="0"/>
          <w:numId w:val="24"/>
        </w:numPr>
        <w:bidi w:val="0"/>
        <w:ind w:left="0" w:leftChars="0" w:firstLine="0" w:firstLineChars="0"/>
        <w:rPr>
          <w:rFonts w:hint="default" w:ascii="Times New Roman" w:hAnsi="Times New Roman" w:eastAsia="宋体"/>
          <w:color w:val="auto"/>
          <w:highlight w:val="none"/>
          <w:lang w:val="en-US" w:eastAsia="zh-CN"/>
        </w:rPr>
      </w:pPr>
      <w:r>
        <w:rPr>
          <w:rFonts w:hint="eastAsia" w:ascii="Times New Roman" w:hAnsi="Times New Roman" w:eastAsia="宋体"/>
          <w:highlight w:val="none"/>
        </w:rPr>
        <w:t>深化设计模型可按专业、系统、</w:t>
      </w:r>
      <w:r>
        <w:rPr>
          <w:rFonts w:hint="eastAsia"/>
          <w:highlight w:val="none"/>
          <w:lang w:val="en-US" w:eastAsia="zh-CN"/>
        </w:rPr>
        <w:t>层高</w:t>
      </w:r>
      <w:r>
        <w:rPr>
          <w:rFonts w:hint="eastAsia" w:ascii="Times New Roman" w:hAnsi="Times New Roman" w:eastAsia="宋体"/>
          <w:highlight w:val="none"/>
        </w:rPr>
        <w:t>、区域等进行组织。</w:t>
      </w:r>
      <w:bookmarkStart w:id="97" w:name="_Toc11983"/>
    </w:p>
    <w:p w14:paraId="414C28F5">
      <w:pPr>
        <w:pStyle w:val="38"/>
        <w:numPr>
          <w:ilvl w:val="0"/>
          <w:numId w:val="24"/>
        </w:numPr>
        <w:bidi w:val="0"/>
        <w:ind w:left="0" w:leftChars="0" w:firstLine="0" w:firstLineChars="0"/>
        <w:rPr>
          <w:rFonts w:hint="default" w:ascii="Times New Roman" w:hAnsi="Times New Roman" w:eastAsia="宋体"/>
          <w:color w:val="auto"/>
          <w:lang w:val="en-US" w:eastAsia="zh-CN"/>
        </w:rPr>
      </w:pPr>
      <w:r>
        <w:rPr>
          <w:rFonts w:hint="eastAsia"/>
          <w:color w:val="auto"/>
          <w:lang w:val="en-US" w:eastAsia="zh-CN"/>
        </w:rPr>
        <w:t>深化设计模型用于预制加工时，应满足管道、风管等分段下料、</w:t>
      </w:r>
      <w:r>
        <w:rPr>
          <w:rFonts w:hint="eastAsia"/>
          <w:color w:val="auto"/>
          <w:highlight w:val="none"/>
          <w:lang w:val="en-US" w:eastAsia="zh-CN"/>
        </w:rPr>
        <w:t>工程量</w:t>
      </w:r>
      <w:r>
        <w:rPr>
          <w:rFonts w:hint="eastAsia"/>
          <w:color w:val="auto"/>
          <w:lang w:val="en-US" w:eastAsia="zh-CN"/>
        </w:rPr>
        <w:t>统计、加工图生成等要求。</w:t>
      </w:r>
    </w:p>
    <w:p w14:paraId="228D4B1F">
      <w:pPr>
        <w:pStyle w:val="3"/>
        <w:bidi w:val="0"/>
        <w:rPr>
          <w:rFonts w:hint="default"/>
          <w:lang w:val="en-US" w:eastAsia="zh-CN"/>
        </w:rPr>
      </w:pPr>
      <w:bookmarkStart w:id="98" w:name="_Toc22236"/>
      <w:bookmarkStart w:id="99" w:name="_Toc14063"/>
      <w:bookmarkStart w:id="100" w:name="_Toc24496"/>
      <w:r>
        <w:rPr>
          <w:rFonts w:hint="eastAsia"/>
          <w:lang w:val="en-US" w:eastAsia="zh-CN"/>
        </w:rPr>
        <w:t>深化设计BIM应用内容</w:t>
      </w:r>
      <w:bookmarkEnd w:id="97"/>
      <w:bookmarkEnd w:id="98"/>
      <w:bookmarkEnd w:id="99"/>
      <w:bookmarkEnd w:id="100"/>
    </w:p>
    <w:p w14:paraId="2510A169">
      <w:pPr>
        <w:pStyle w:val="38"/>
        <w:numPr>
          <w:ilvl w:val="0"/>
          <w:numId w:val="25"/>
        </w:numPr>
        <w:bidi w:val="0"/>
        <w:ind w:left="0" w:leftChars="0" w:firstLine="0" w:firstLineChars="0"/>
        <w:rPr>
          <w:rFonts w:hint="eastAsia"/>
        </w:rPr>
      </w:pPr>
      <w:r>
        <w:rPr>
          <w:rFonts w:hint="eastAsia"/>
        </w:rPr>
        <w:t>深化设计BIM应用宜包括下列内容：</w:t>
      </w:r>
    </w:p>
    <w:p w14:paraId="74D46074">
      <w:pPr>
        <w:pStyle w:val="38"/>
        <w:keepNext w:val="0"/>
        <w:keepLines w:val="0"/>
        <w:pageBreakBefore w:val="0"/>
        <w:widowControl w:val="0"/>
        <w:numPr>
          <w:ilvl w:val="0"/>
          <w:numId w:val="26"/>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深化设计</w:t>
      </w:r>
      <w:r>
        <w:rPr>
          <w:rFonts w:hint="eastAsia"/>
          <w:lang w:val="en-US" w:eastAsia="zh-CN"/>
        </w:rPr>
        <w:t>模型创建</w:t>
      </w:r>
      <w:r>
        <w:rPr>
          <w:rFonts w:hint="eastAsia" w:ascii="Times New Roman" w:hAnsi="Times New Roman" w:eastAsia="宋体"/>
          <w:lang w:val="en-US" w:eastAsia="zh-CN"/>
        </w:rPr>
        <w:t>；</w:t>
      </w:r>
    </w:p>
    <w:p w14:paraId="2CE401EF">
      <w:pPr>
        <w:pStyle w:val="38"/>
        <w:keepNext w:val="0"/>
        <w:keepLines w:val="0"/>
        <w:pageBreakBefore w:val="0"/>
        <w:widowControl w:val="0"/>
        <w:numPr>
          <w:ilvl w:val="0"/>
          <w:numId w:val="26"/>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lang w:val="en-US" w:eastAsia="zh-CN"/>
        </w:rPr>
        <w:t>管线分段、管段及支吊架编号、焊口标识；</w:t>
      </w:r>
    </w:p>
    <w:p w14:paraId="3081C796">
      <w:pPr>
        <w:pStyle w:val="38"/>
        <w:keepNext w:val="0"/>
        <w:keepLines w:val="0"/>
        <w:pageBreakBefore w:val="0"/>
        <w:widowControl w:val="0"/>
        <w:numPr>
          <w:ilvl w:val="0"/>
          <w:numId w:val="26"/>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参数复核；</w:t>
      </w:r>
    </w:p>
    <w:p w14:paraId="18CD7433">
      <w:pPr>
        <w:pStyle w:val="38"/>
        <w:keepNext w:val="0"/>
        <w:keepLines w:val="0"/>
        <w:pageBreakBefore w:val="0"/>
        <w:widowControl w:val="0"/>
        <w:numPr>
          <w:ilvl w:val="0"/>
          <w:numId w:val="26"/>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lang w:val="en-US" w:eastAsia="zh-CN"/>
        </w:rPr>
        <w:t>深化设计图输出；</w:t>
      </w:r>
    </w:p>
    <w:p w14:paraId="53E7E886">
      <w:pPr>
        <w:pStyle w:val="38"/>
        <w:keepNext w:val="0"/>
        <w:keepLines w:val="0"/>
        <w:pageBreakBefore w:val="0"/>
        <w:widowControl w:val="0"/>
        <w:numPr>
          <w:ilvl w:val="0"/>
          <w:numId w:val="26"/>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highlight w:val="none"/>
          <w:lang w:val="en-US" w:eastAsia="zh-CN"/>
        </w:rPr>
      </w:pPr>
      <w:r>
        <w:rPr>
          <w:rFonts w:hint="eastAsia"/>
          <w:highlight w:val="none"/>
          <w:lang w:val="en-US" w:eastAsia="zh-CN"/>
        </w:rPr>
        <w:t>工程量</w:t>
      </w:r>
      <w:r>
        <w:rPr>
          <w:rFonts w:hint="eastAsia" w:ascii="Times New Roman" w:hAnsi="Times New Roman" w:eastAsia="宋体"/>
          <w:highlight w:val="none"/>
          <w:lang w:val="en-US" w:eastAsia="zh-CN"/>
        </w:rPr>
        <w:t>统计</w:t>
      </w:r>
      <w:r>
        <w:rPr>
          <w:rFonts w:hint="eastAsia"/>
          <w:highlight w:val="none"/>
          <w:lang w:val="en-US" w:eastAsia="zh-CN"/>
        </w:rPr>
        <w:t>及工程量清单输出</w:t>
      </w:r>
      <w:r>
        <w:rPr>
          <w:rFonts w:hint="eastAsia" w:ascii="Times New Roman" w:hAnsi="Times New Roman" w:eastAsia="宋体"/>
          <w:highlight w:val="none"/>
          <w:lang w:val="en-US" w:eastAsia="zh-CN"/>
        </w:rPr>
        <w:t>。</w:t>
      </w:r>
    </w:p>
    <w:p w14:paraId="2BFC2632">
      <w:pPr>
        <w:pStyle w:val="38"/>
        <w:numPr>
          <w:ilvl w:val="0"/>
          <w:numId w:val="25"/>
        </w:numPr>
        <w:bidi w:val="0"/>
        <w:ind w:left="0" w:leftChars="0" w:firstLine="0" w:firstLineChars="0"/>
        <w:rPr>
          <w:rFonts w:hint="eastAsia"/>
          <w:lang w:val="en-US" w:eastAsia="zh-CN"/>
        </w:rPr>
      </w:pPr>
      <w:r>
        <w:rPr>
          <w:rFonts w:hint="eastAsia"/>
          <w:lang w:val="en-US" w:eastAsia="zh-CN"/>
        </w:rPr>
        <w:t>管道专业深化设计BIM应用，应在深化设计模型上确定管道分段、焊口位置，以及管段编号和焊口标识等内容。</w:t>
      </w:r>
    </w:p>
    <w:p w14:paraId="08ADB86F">
      <w:pPr>
        <w:pStyle w:val="38"/>
        <w:numPr>
          <w:ilvl w:val="0"/>
          <w:numId w:val="25"/>
        </w:numPr>
        <w:bidi w:val="0"/>
        <w:ind w:left="0" w:leftChars="0" w:firstLine="0" w:firstLineChars="0"/>
        <w:rPr>
          <w:rFonts w:hint="eastAsia"/>
          <w:lang w:val="en-US" w:eastAsia="zh-CN"/>
        </w:rPr>
      </w:pPr>
      <w:r>
        <w:rPr>
          <w:rFonts w:hint="eastAsia"/>
          <w:lang w:val="en-US" w:eastAsia="zh-CN"/>
        </w:rPr>
        <w:t>通风空调专业深化设计BIM应用，应在深化设计模型上确定风管分段、支吊架位置，以及管段和支吊架编号等内容。</w:t>
      </w:r>
    </w:p>
    <w:p w14:paraId="6DB44045">
      <w:pPr>
        <w:pStyle w:val="38"/>
        <w:numPr>
          <w:ilvl w:val="0"/>
          <w:numId w:val="25"/>
        </w:numPr>
        <w:bidi w:val="0"/>
        <w:ind w:left="0" w:leftChars="0" w:firstLine="0" w:firstLineChars="0"/>
        <w:rPr>
          <w:rFonts w:hint="eastAsia"/>
          <w:highlight w:val="none"/>
          <w:lang w:val="en-US" w:eastAsia="zh-CN"/>
        </w:rPr>
      </w:pPr>
      <w:r>
        <w:rPr>
          <w:rFonts w:hint="eastAsia"/>
          <w:highlight w:val="none"/>
          <w:lang w:val="en-US" w:eastAsia="zh-CN"/>
        </w:rPr>
        <w:t>在深化设计阶段利用模型进行模块化设计时，应在深化设计模型中按照模块化设计规则确定模块划分的范围。</w:t>
      </w:r>
    </w:p>
    <w:p w14:paraId="3A1EE3F2">
      <w:pPr>
        <w:pStyle w:val="38"/>
        <w:numPr>
          <w:ilvl w:val="0"/>
          <w:numId w:val="25"/>
        </w:numPr>
        <w:bidi w:val="0"/>
        <w:ind w:left="0" w:leftChars="0" w:firstLine="0" w:firstLineChars="0"/>
        <w:rPr>
          <w:rFonts w:hint="eastAsia"/>
          <w:lang w:val="en-US" w:eastAsia="zh-CN"/>
        </w:rPr>
      </w:pPr>
      <w:r>
        <w:rPr>
          <w:rFonts w:hint="eastAsia"/>
          <w:lang w:val="en-US" w:eastAsia="zh-CN"/>
        </w:rPr>
        <w:t>深化设计BIM应用，宜通过深化设计模型对尺寸、标高、定位、技术参数等进行复核，对发现的问题应进行澄清处理。</w:t>
      </w:r>
    </w:p>
    <w:p w14:paraId="0DBD2938">
      <w:pPr>
        <w:pStyle w:val="38"/>
        <w:numPr>
          <w:ilvl w:val="0"/>
          <w:numId w:val="25"/>
        </w:numPr>
        <w:bidi w:val="0"/>
        <w:ind w:left="0" w:leftChars="0" w:firstLine="0" w:firstLineChars="0"/>
        <w:rPr>
          <w:rFonts w:hint="eastAsia"/>
          <w:highlight w:val="none"/>
          <w:lang w:val="en-US" w:eastAsia="zh-CN"/>
        </w:rPr>
      </w:pPr>
      <w:r>
        <w:rPr>
          <w:rFonts w:hint="eastAsia"/>
          <w:highlight w:val="none"/>
          <w:lang w:val="en-US" w:eastAsia="zh-CN"/>
        </w:rPr>
        <w:t>深化设计BIM应用，宜通过深化设计模型生成支吊架详图。</w:t>
      </w:r>
    </w:p>
    <w:p w14:paraId="6E13060B">
      <w:pPr>
        <w:pStyle w:val="38"/>
        <w:numPr>
          <w:ilvl w:val="0"/>
          <w:numId w:val="25"/>
        </w:numPr>
        <w:bidi w:val="0"/>
        <w:ind w:left="0" w:leftChars="0" w:firstLine="0" w:firstLineChars="0"/>
        <w:rPr>
          <w:rFonts w:hint="eastAsia"/>
        </w:rPr>
      </w:pPr>
      <w:r>
        <w:rPr>
          <w:rFonts w:hint="eastAsia"/>
          <w:lang w:val="en-US" w:eastAsia="zh-CN"/>
        </w:rPr>
        <w:t>深化设计BIM应用，宜通过深化设计模型统计工程量并输出工程量清单。</w:t>
      </w:r>
    </w:p>
    <w:p w14:paraId="1006FE2C">
      <w:pPr>
        <w:pStyle w:val="38"/>
        <w:numPr>
          <w:ilvl w:val="0"/>
          <w:numId w:val="25"/>
        </w:numPr>
        <w:bidi w:val="0"/>
        <w:ind w:left="0" w:leftChars="0" w:firstLine="0" w:firstLineChars="0"/>
        <w:rPr>
          <w:rFonts w:hint="eastAsia" w:ascii="Times New Roman" w:hAnsi="Times New Roman" w:eastAsia="宋体"/>
          <w:lang w:val="en-US" w:eastAsia="zh-CN"/>
        </w:rPr>
      </w:pPr>
      <w:r>
        <w:rPr>
          <w:rFonts w:hint="eastAsia"/>
        </w:rPr>
        <w:t>深化设计BIM</w:t>
      </w:r>
      <w:r>
        <w:rPr>
          <w:rFonts w:hint="eastAsia"/>
          <w:lang w:val="en-US" w:eastAsia="zh-CN"/>
        </w:rPr>
        <w:t>应用</w:t>
      </w:r>
      <w:r>
        <w:rPr>
          <w:rFonts w:hint="eastAsia"/>
        </w:rPr>
        <w:t>成果宜包括</w:t>
      </w:r>
      <w:r>
        <w:rPr>
          <w:rFonts w:hint="eastAsia" w:ascii="Times New Roman" w:hAnsi="Times New Roman" w:eastAsia="宋体"/>
          <w:lang w:val="en-US" w:eastAsia="zh-CN"/>
        </w:rPr>
        <w:t>深化设计模型</w:t>
      </w:r>
      <w:r>
        <w:rPr>
          <w:rFonts w:hint="eastAsia"/>
          <w:lang w:val="en-US" w:eastAsia="zh-CN"/>
        </w:rPr>
        <w:t>、</w:t>
      </w:r>
      <w:r>
        <w:rPr>
          <w:rFonts w:hint="eastAsia" w:ascii="Times New Roman" w:hAnsi="Times New Roman" w:eastAsia="宋体"/>
          <w:lang w:val="en-US" w:eastAsia="zh-CN"/>
        </w:rPr>
        <w:t>深化设计图</w:t>
      </w:r>
      <w:r>
        <w:rPr>
          <w:rFonts w:hint="eastAsia"/>
          <w:lang w:val="en-US" w:eastAsia="zh-CN"/>
        </w:rPr>
        <w:t>、工程量</w:t>
      </w:r>
      <w:r>
        <w:rPr>
          <w:rFonts w:hint="eastAsia" w:ascii="Times New Roman" w:hAnsi="Times New Roman" w:eastAsia="宋体"/>
          <w:lang w:val="en-US" w:eastAsia="zh-CN"/>
        </w:rPr>
        <w:t>清单</w:t>
      </w:r>
      <w:r>
        <w:rPr>
          <w:rFonts w:hint="eastAsia"/>
          <w:lang w:val="en-US" w:eastAsia="zh-CN"/>
        </w:rPr>
        <w:t>等</w:t>
      </w:r>
      <w:r>
        <w:rPr>
          <w:rFonts w:hint="eastAsia" w:ascii="Times New Roman" w:hAnsi="Times New Roman" w:eastAsia="宋体"/>
          <w:lang w:val="en-US" w:eastAsia="zh-CN"/>
        </w:rPr>
        <w:t>。</w:t>
      </w:r>
    </w:p>
    <w:p w14:paraId="0AD985A8"/>
    <w:p w14:paraId="3A9B4942">
      <w:r>
        <w:br w:type="page"/>
      </w:r>
    </w:p>
    <w:p w14:paraId="16067262">
      <w:pPr>
        <w:pStyle w:val="2"/>
        <w:bidi w:val="0"/>
        <w:rPr>
          <w:rFonts w:hint="default"/>
          <w:lang w:val="en-US" w:eastAsia="zh-CN"/>
        </w:rPr>
      </w:pPr>
      <w:bookmarkStart w:id="101" w:name="_Toc6406"/>
      <w:bookmarkStart w:id="102" w:name="_Toc553"/>
      <w:bookmarkStart w:id="103" w:name="_Toc6039"/>
      <w:bookmarkStart w:id="104" w:name="_Toc26948"/>
      <w:r>
        <w:rPr>
          <w:rFonts w:hint="eastAsia"/>
          <w:lang w:val="en-US" w:eastAsia="zh-CN"/>
        </w:rPr>
        <w:t>技术准备</w:t>
      </w:r>
      <w:bookmarkEnd w:id="101"/>
      <w:bookmarkEnd w:id="102"/>
      <w:bookmarkEnd w:id="103"/>
      <w:bookmarkEnd w:id="104"/>
    </w:p>
    <w:p w14:paraId="4E7FCA40">
      <w:pPr>
        <w:pStyle w:val="3"/>
        <w:bidi w:val="0"/>
        <w:rPr>
          <w:rFonts w:hint="eastAsia"/>
          <w:lang w:val="en-US" w:eastAsia="zh-CN"/>
        </w:rPr>
      </w:pPr>
      <w:bookmarkStart w:id="105" w:name="_Toc17772"/>
      <w:bookmarkStart w:id="106" w:name="_Toc21685"/>
      <w:bookmarkStart w:id="107" w:name="_Toc15452"/>
      <w:r>
        <w:rPr>
          <w:rFonts w:hint="eastAsia"/>
          <w:lang w:val="en-US" w:eastAsia="zh-CN"/>
        </w:rPr>
        <w:t>一般规定</w:t>
      </w:r>
      <w:bookmarkEnd w:id="105"/>
      <w:bookmarkEnd w:id="106"/>
      <w:bookmarkEnd w:id="107"/>
    </w:p>
    <w:p w14:paraId="624A003A">
      <w:pPr>
        <w:pStyle w:val="38"/>
        <w:numPr>
          <w:ilvl w:val="0"/>
          <w:numId w:val="27"/>
        </w:numPr>
        <w:bidi w:val="0"/>
        <w:ind w:left="0" w:leftChars="0" w:firstLine="0" w:firstLineChars="0"/>
        <w:rPr>
          <w:rFonts w:hint="default"/>
          <w:lang w:val="en-US" w:eastAsia="zh-CN"/>
        </w:rPr>
      </w:pPr>
      <w:r>
        <w:rPr>
          <w:rFonts w:hint="eastAsia"/>
          <w:lang w:val="en-US" w:eastAsia="zh-CN"/>
        </w:rPr>
        <w:t>技术准备阶段的统计与输机、碰撞检查、</w:t>
      </w:r>
      <w:r>
        <w:rPr>
          <w:rFonts w:hint="eastAsia"/>
          <w:highlight w:val="none"/>
          <w:lang w:val="en-US" w:eastAsia="zh-CN"/>
        </w:rPr>
        <w:t>施工模拟</w:t>
      </w:r>
      <w:r>
        <w:rPr>
          <w:rFonts w:hint="eastAsia"/>
          <w:lang w:val="en-US" w:eastAsia="zh-CN"/>
        </w:rPr>
        <w:t>、模块化设计等宜应用BIM。</w:t>
      </w:r>
    </w:p>
    <w:p w14:paraId="713E3B9F">
      <w:pPr>
        <w:pStyle w:val="38"/>
        <w:numPr>
          <w:ilvl w:val="0"/>
          <w:numId w:val="27"/>
        </w:numPr>
        <w:bidi w:val="0"/>
        <w:ind w:left="0" w:leftChars="0" w:firstLine="0" w:firstLineChars="0"/>
        <w:rPr>
          <w:rFonts w:hint="default"/>
          <w:lang w:val="en-US" w:eastAsia="zh-CN"/>
        </w:rPr>
      </w:pPr>
      <w:r>
        <w:rPr>
          <w:rFonts w:hint="eastAsia"/>
          <w:lang w:val="en-US" w:eastAsia="zh-CN"/>
        </w:rPr>
        <w:t>技术准备BIM应用，应基于施工图设计模型或深化设计模型开展。</w:t>
      </w:r>
    </w:p>
    <w:p w14:paraId="13577625">
      <w:pPr>
        <w:pStyle w:val="38"/>
        <w:numPr>
          <w:ilvl w:val="0"/>
          <w:numId w:val="27"/>
        </w:numPr>
        <w:bidi w:val="0"/>
        <w:ind w:left="0" w:leftChars="0" w:firstLine="0" w:firstLineChars="0"/>
        <w:rPr>
          <w:rFonts w:hint="default"/>
          <w:lang w:val="en-US" w:eastAsia="zh-CN"/>
        </w:rPr>
      </w:pPr>
      <w:r>
        <w:rPr>
          <w:rFonts w:hint="eastAsia"/>
          <w:lang w:val="en-US" w:eastAsia="zh-CN"/>
        </w:rPr>
        <w:t>技术准备BIM应用，宜搭建BIM协同管理平台，并将施工模型上传至BIM平台，开展模型浏览、信息检索与查询等应用。</w:t>
      </w:r>
    </w:p>
    <w:p w14:paraId="3CAD88C6">
      <w:pPr>
        <w:pStyle w:val="38"/>
        <w:numPr>
          <w:ilvl w:val="0"/>
          <w:numId w:val="27"/>
        </w:numPr>
        <w:bidi w:val="0"/>
        <w:ind w:left="0" w:leftChars="0" w:firstLine="0" w:firstLineChars="0"/>
        <w:rPr>
          <w:rFonts w:hint="default"/>
          <w:lang w:val="en-US" w:eastAsia="zh-CN"/>
        </w:rPr>
      </w:pPr>
      <w:r>
        <w:rPr>
          <w:rFonts w:hint="eastAsia"/>
          <w:lang w:val="en-US" w:eastAsia="zh-CN"/>
        </w:rPr>
        <w:t>上传至BIM平台的模型，宜以房间或区域为单位进行组织。</w:t>
      </w:r>
    </w:p>
    <w:p w14:paraId="20D392B6">
      <w:pPr>
        <w:pStyle w:val="38"/>
        <w:numPr>
          <w:ilvl w:val="0"/>
          <w:numId w:val="27"/>
        </w:numPr>
        <w:bidi w:val="0"/>
        <w:ind w:left="0" w:leftChars="0" w:firstLine="0" w:firstLineChars="0"/>
        <w:rPr>
          <w:rFonts w:hint="default"/>
          <w:lang w:val="en-US" w:eastAsia="zh-CN"/>
        </w:rPr>
      </w:pPr>
      <w:r>
        <w:rPr>
          <w:rFonts w:hint="eastAsia"/>
          <w:lang w:val="en-US" w:eastAsia="zh-CN"/>
        </w:rPr>
        <w:t>技术准备BIM应用，宜将施工图、技术规格书、变更文件等上传至BIM平台，并与对应施工模型关联。</w:t>
      </w:r>
    </w:p>
    <w:p w14:paraId="2AAF4D90">
      <w:pPr>
        <w:pStyle w:val="3"/>
        <w:bidi w:val="0"/>
        <w:rPr>
          <w:rFonts w:hint="default"/>
          <w:lang w:val="en-US" w:eastAsia="zh-CN"/>
        </w:rPr>
      </w:pPr>
      <w:bookmarkStart w:id="108" w:name="_Toc29328"/>
      <w:bookmarkStart w:id="109" w:name="_Toc18084"/>
      <w:bookmarkStart w:id="110" w:name="_Toc10388"/>
      <w:r>
        <w:rPr>
          <w:rFonts w:hint="default"/>
          <w:lang w:val="en-US" w:eastAsia="zh-CN"/>
        </w:rPr>
        <w:t>统计与输机</w:t>
      </w:r>
      <w:bookmarkEnd w:id="108"/>
      <w:bookmarkEnd w:id="109"/>
      <w:bookmarkEnd w:id="110"/>
    </w:p>
    <w:p w14:paraId="0A79F6E0">
      <w:pPr>
        <w:pStyle w:val="38"/>
        <w:numPr>
          <w:ilvl w:val="0"/>
          <w:numId w:val="28"/>
        </w:numPr>
        <w:bidi w:val="0"/>
        <w:ind w:left="0" w:leftChars="0" w:firstLine="0" w:firstLineChars="0"/>
        <w:rPr>
          <w:rFonts w:hint="default"/>
          <w:lang w:val="en-US" w:eastAsia="zh-CN"/>
        </w:rPr>
      </w:pPr>
      <w:r>
        <w:rPr>
          <w:rFonts w:hint="eastAsia"/>
          <w:lang w:val="en-US" w:eastAsia="zh-CN"/>
        </w:rPr>
        <w:t>用于统计与输机的施工模型，模型单元信息深度不应低于N3等级。</w:t>
      </w:r>
    </w:p>
    <w:p w14:paraId="2049BB2E">
      <w:pPr>
        <w:pStyle w:val="38"/>
        <w:numPr>
          <w:ilvl w:val="0"/>
          <w:numId w:val="28"/>
        </w:numPr>
        <w:bidi w:val="0"/>
        <w:ind w:left="0" w:leftChars="0" w:firstLine="0" w:firstLineChars="0"/>
        <w:rPr>
          <w:rFonts w:hint="default"/>
          <w:lang w:val="en-US" w:eastAsia="zh-CN"/>
        </w:rPr>
      </w:pPr>
      <w:r>
        <w:rPr>
          <w:rFonts w:hint="eastAsia"/>
          <w:lang w:val="en-US" w:eastAsia="zh-CN"/>
        </w:rPr>
        <w:t>技术准备BIM应用，宜利用深化设计模型进行各专业工程量和材料量的统计，统计规则可按照项目要求确定。</w:t>
      </w:r>
    </w:p>
    <w:p w14:paraId="403EA9EF">
      <w:pPr>
        <w:pStyle w:val="38"/>
        <w:numPr>
          <w:ilvl w:val="0"/>
          <w:numId w:val="28"/>
        </w:numPr>
        <w:bidi w:val="0"/>
        <w:ind w:left="0" w:leftChars="0" w:firstLine="0" w:firstLineChars="0"/>
        <w:rPr>
          <w:rFonts w:hint="default"/>
          <w:lang w:val="en-US" w:eastAsia="zh-CN"/>
        </w:rPr>
      </w:pPr>
      <w:r>
        <w:rPr>
          <w:rFonts w:hint="eastAsia"/>
          <w:lang w:val="en-US" w:eastAsia="zh-CN"/>
        </w:rPr>
        <w:t>工程量和材料量宜使用BIM平台进行统计。</w:t>
      </w:r>
    </w:p>
    <w:p w14:paraId="48117EBD">
      <w:pPr>
        <w:pStyle w:val="38"/>
        <w:numPr>
          <w:ilvl w:val="0"/>
          <w:numId w:val="28"/>
        </w:numPr>
        <w:bidi w:val="0"/>
        <w:ind w:left="0" w:leftChars="0" w:firstLine="0" w:firstLineChars="0"/>
        <w:rPr>
          <w:rFonts w:hint="default"/>
          <w:lang w:val="en-US" w:eastAsia="zh-CN"/>
        </w:rPr>
      </w:pPr>
      <w:r>
        <w:rPr>
          <w:rFonts w:hint="eastAsia"/>
          <w:lang w:val="en-US" w:eastAsia="zh-CN"/>
        </w:rPr>
        <w:t>技术准备BIM应用，宜利用深化设计模型通过直接或间接的方式进行工程对象信息的输机。</w:t>
      </w:r>
    </w:p>
    <w:p w14:paraId="741E4312">
      <w:pPr>
        <w:pStyle w:val="38"/>
        <w:numPr>
          <w:ilvl w:val="0"/>
          <w:numId w:val="28"/>
        </w:numPr>
        <w:bidi w:val="0"/>
        <w:ind w:left="0" w:leftChars="0" w:firstLine="0" w:firstLineChars="0"/>
        <w:rPr>
          <w:rFonts w:hint="eastAsia"/>
          <w:lang w:val="en-US" w:eastAsia="zh-CN"/>
        </w:rPr>
      </w:pPr>
      <w:r>
        <w:rPr>
          <w:rFonts w:hint="eastAsia"/>
          <w:lang w:val="en-US" w:eastAsia="zh-CN"/>
        </w:rPr>
        <w:t>当采用直接方式输机时，可使用BIM平台进行施工模型与工程项目信息化施工管理平台的数据关联。</w:t>
      </w:r>
    </w:p>
    <w:p w14:paraId="6C4CE054">
      <w:pPr>
        <w:pStyle w:val="3"/>
        <w:bidi w:val="0"/>
        <w:rPr>
          <w:rFonts w:hint="default"/>
          <w:lang w:val="en-US" w:eastAsia="zh-CN"/>
        </w:rPr>
      </w:pPr>
      <w:bookmarkStart w:id="111" w:name="_Toc12240"/>
      <w:bookmarkStart w:id="112" w:name="_Toc29808"/>
      <w:bookmarkStart w:id="113" w:name="_Toc1179"/>
      <w:r>
        <w:rPr>
          <w:rFonts w:hint="eastAsia"/>
          <w:lang w:val="en-US" w:eastAsia="zh-CN"/>
        </w:rPr>
        <w:t>碰撞检查</w:t>
      </w:r>
      <w:bookmarkEnd w:id="111"/>
      <w:bookmarkEnd w:id="112"/>
      <w:bookmarkEnd w:id="113"/>
    </w:p>
    <w:p w14:paraId="0B0D7DE5">
      <w:pPr>
        <w:pStyle w:val="38"/>
        <w:numPr>
          <w:ilvl w:val="0"/>
          <w:numId w:val="29"/>
        </w:numPr>
        <w:bidi w:val="0"/>
        <w:ind w:left="0" w:leftChars="0" w:firstLine="0" w:firstLineChars="0"/>
        <w:rPr>
          <w:rFonts w:hint="default"/>
          <w:lang w:val="en-US" w:eastAsia="zh-CN"/>
        </w:rPr>
      </w:pPr>
      <w:r>
        <w:rPr>
          <w:rFonts w:hint="eastAsia"/>
          <w:lang w:val="en-US" w:eastAsia="zh-CN"/>
        </w:rPr>
        <w:t>技术准备BIM应用，宜利用施工图设计模型或深化设计模型进行专业内部和专业之间的碰撞检查。</w:t>
      </w:r>
    </w:p>
    <w:p w14:paraId="135D9513">
      <w:pPr>
        <w:pStyle w:val="38"/>
        <w:numPr>
          <w:ilvl w:val="0"/>
          <w:numId w:val="29"/>
        </w:numPr>
        <w:bidi w:val="0"/>
        <w:ind w:left="0" w:leftChars="0" w:firstLine="0" w:firstLineChars="0"/>
        <w:rPr>
          <w:rFonts w:hint="default"/>
          <w:lang w:val="en-US" w:eastAsia="zh-CN"/>
        </w:rPr>
      </w:pPr>
      <w:r>
        <w:rPr>
          <w:rFonts w:hint="eastAsia"/>
          <w:lang w:val="en-US" w:eastAsia="zh-CN"/>
        </w:rPr>
        <w:t>碰撞检查前，应将涉及的所有专业的模型单元综合成一个整体。</w:t>
      </w:r>
    </w:p>
    <w:p w14:paraId="0BE2CC67">
      <w:pPr>
        <w:pStyle w:val="38"/>
        <w:numPr>
          <w:ilvl w:val="0"/>
          <w:numId w:val="29"/>
        </w:numPr>
        <w:bidi w:val="0"/>
        <w:ind w:left="0" w:leftChars="0" w:firstLine="0" w:firstLineChars="0"/>
        <w:rPr>
          <w:rFonts w:hint="default"/>
          <w:lang w:val="en-US" w:eastAsia="zh-CN"/>
        </w:rPr>
      </w:pPr>
      <w:r>
        <w:rPr>
          <w:rFonts w:hint="eastAsia"/>
          <w:lang w:val="en-US" w:eastAsia="zh-CN"/>
        </w:rPr>
        <w:t>碰撞检查软件应具有多种格式模型单元进行模型综合的能力，可使用BIM平台进行碰撞检查。</w:t>
      </w:r>
    </w:p>
    <w:p w14:paraId="1E39BEA4">
      <w:pPr>
        <w:pStyle w:val="38"/>
        <w:numPr>
          <w:ilvl w:val="0"/>
          <w:numId w:val="29"/>
        </w:numPr>
        <w:bidi w:val="0"/>
        <w:ind w:left="0" w:leftChars="0" w:firstLine="0" w:firstLineChars="0"/>
        <w:rPr>
          <w:rFonts w:hint="default"/>
          <w:lang w:val="en-US" w:eastAsia="zh-CN"/>
        </w:rPr>
      </w:pPr>
      <w:r>
        <w:rPr>
          <w:rFonts w:hint="eastAsia"/>
          <w:lang w:val="en-US" w:eastAsia="zh-CN"/>
        </w:rPr>
        <w:t>碰撞检查应包括硬碰撞检查和软碰撞检查两种形式。</w:t>
      </w:r>
    </w:p>
    <w:p w14:paraId="51381C96">
      <w:pPr>
        <w:pStyle w:val="38"/>
        <w:numPr>
          <w:ilvl w:val="0"/>
          <w:numId w:val="29"/>
        </w:numPr>
        <w:bidi w:val="0"/>
        <w:ind w:left="0" w:leftChars="0" w:firstLine="0" w:firstLineChars="0"/>
        <w:rPr>
          <w:rFonts w:hint="default"/>
          <w:lang w:val="en-US" w:eastAsia="zh-CN"/>
        </w:rPr>
      </w:pPr>
      <w:r>
        <w:rPr>
          <w:rFonts w:hint="eastAsia"/>
          <w:lang w:val="en-US" w:eastAsia="zh-CN"/>
        </w:rPr>
        <w:t>碰撞检查距离设置应符合下列规定：</w:t>
      </w:r>
    </w:p>
    <w:p w14:paraId="75955F4D">
      <w:pPr>
        <w:pStyle w:val="38"/>
        <w:keepNext w:val="0"/>
        <w:keepLines w:val="0"/>
        <w:pageBreakBefore w:val="0"/>
        <w:widowControl w:val="0"/>
        <w:numPr>
          <w:ilvl w:val="0"/>
          <w:numId w:val="30"/>
        </w:numPr>
        <w:kinsoku/>
        <w:wordWrap/>
        <w:overflowPunct/>
        <w:topLinePunct w:val="0"/>
        <w:autoSpaceDE/>
        <w:autoSpaceDN/>
        <w:bidi w:val="0"/>
        <w:adjustRightInd/>
        <w:snapToGrid/>
        <w:ind w:left="0" w:leftChars="0" w:firstLine="480" w:firstLineChars="200"/>
        <w:textAlignment w:val="auto"/>
        <w:rPr>
          <w:rFonts w:hint="default"/>
          <w:highlight w:val="none"/>
          <w:lang w:val="en-US" w:eastAsia="zh-CN"/>
        </w:rPr>
      </w:pPr>
      <w:r>
        <w:rPr>
          <w:rFonts w:hint="eastAsia"/>
          <w:highlight w:val="none"/>
          <w:lang w:val="en-US" w:eastAsia="zh-CN"/>
        </w:rPr>
        <w:t>硬碰撞检查距离不应大于5mm；</w:t>
      </w:r>
    </w:p>
    <w:p w14:paraId="60CA201B">
      <w:pPr>
        <w:pStyle w:val="38"/>
        <w:keepNext w:val="0"/>
        <w:keepLines w:val="0"/>
        <w:pageBreakBefore w:val="0"/>
        <w:widowControl w:val="0"/>
        <w:numPr>
          <w:ilvl w:val="0"/>
          <w:numId w:val="30"/>
        </w:numPr>
        <w:kinsoku/>
        <w:wordWrap/>
        <w:overflowPunct/>
        <w:topLinePunct w:val="0"/>
        <w:autoSpaceDE/>
        <w:autoSpaceDN/>
        <w:bidi w:val="0"/>
        <w:adjustRightInd/>
        <w:snapToGrid/>
        <w:ind w:left="0" w:leftChars="0" w:firstLine="480" w:firstLineChars="200"/>
        <w:textAlignment w:val="auto"/>
        <w:rPr>
          <w:rFonts w:hint="default"/>
          <w:highlight w:val="none"/>
          <w:lang w:val="en-US" w:eastAsia="zh-CN"/>
        </w:rPr>
      </w:pPr>
      <w:r>
        <w:rPr>
          <w:rFonts w:hint="eastAsia"/>
          <w:highlight w:val="none"/>
          <w:lang w:val="en-US" w:eastAsia="zh-CN"/>
        </w:rPr>
        <w:t>软碰撞检查距离应综合考虑保温层厚度、操作空间等要求综合确定。</w:t>
      </w:r>
    </w:p>
    <w:p w14:paraId="7B44452A">
      <w:pPr>
        <w:pStyle w:val="38"/>
        <w:numPr>
          <w:ilvl w:val="0"/>
          <w:numId w:val="29"/>
        </w:numPr>
        <w:bidi w:val="0"/>
        <w:ind w:left="0" w:leftChars="0" w:firstLine="0" w:firstLineChars="0"/>
        <w:rPr>
          <w:rFonts w:hint="default"/>
          <w:lang w:val="en-US" w:eastAsia="zh-CN"/>
        </w:rPr>
      </w:pPr>
      <w:r>
        <w:rPr>
          <w:rFonts w:hint="eastAsia"/>
          <w:lang w:val="en-US" w:eastAsia="zh-CN"/>
        </w:rPr>
        <w:t>碰撞检查应形成碰撞检查报告，对其中的碰撞问题应调整模型或向设计单位澄清。</w:t>
      </w:r>
    </w:p>
    <w:p w14:paraId="7435E269">
      <w:pPr>
        <w:pStyle w:val="3"/>
        <w:bidi w:val="0"/>
        <w:rPr>
          <w:rFonts w:hint="eastAsia"/>
          <w:highlight w:val="none"/>
          <w:lang w:val="en-US" w:eastAsia="zh-CN"/>
        </w:rPr>
      </w:pPr>
      <w:bookmarkStart w:id="114" w:name="_Toc323"/>
      <w:bookmarkStart w:id="115" w:name="_Toc18593"/>
      <w:bookmarkStart w:id="116" w:name="_Toc2549"/>
      <w:r>
        <w:rPr>
          <w:rFonts w:hint="eastAsia"/>
          <w:highlight w:val="none"/>
          <w:lang w:val="en-US" w:eastAsia="zh-CN"/>
        </w:rPr>
        <w:t>施工模拟</w:t>
      </w:r>
      <w:bookmarkEnd w:id="114"/>
      <w:bookmarkEnd w:id="115"/>
      <w:bookmarkEnd w:id="116"/>
    </w:p>
    <w:p w14:paraId="617F4E62">
      <w:pPr>
        <w:pStyle w:val="38"/>
        <w:numPr>
          <w:ilvl w:val="0"/>
          <w:numId w:val="31"/>
        </w:numPr>
        <w:bidi w:val="0"/>
        <w:ind w:left="0" w:leftChars="0" w:firstLine="0" w:firstLineChars="0"/>
        <w:rPr>
          <w:rFonts w:hint="default"/>
          <w:lang w:val="en-US" w:eastAsia="zh-CN"/>
        </w:rPr>
      </w:pPr>
      <w:r>
        <w:rPr>
          <w:rFonts w:hint="eastAsia" w:ascii="Times New Roman" w:hAnsi="Times New Roman" w:eastAsia="宋体"/>
          <w:lang w:val="en-US" w:eastAsia="zh-CN"/>
        </w:rPr>
        <w:t>核岛安装工程中的危大</w:t>
      </w:r>
      <w:r>
        <w:rPr>
          <w:rFonts w:hint="eastAsia"/>
          <w:lang w:val="en-US" w:eastAsia="zh-CN"/>
        </w:rPr>
        <w:t>、超危大</w:t>
      </w:r>
      <w:r>
        <w:rPr>
          <w:rFonts w:hint="eastAsia" w:ascii="Times New Roman" w:hAnsi="Times New Roman" w:eastAsia="宋体"/>
          <w:lang w:val="en-US" w:eastAsia="zh-CN"/>
        </w:rPr>
        <w:t>工程施工方案，以及</w:t>
      </w:r>
      <w:r>
        <w:rPr>
          <w:rFonts w:hint="eastAsia"/>
          <w:lang w:val="en-US" w:eastAsia="zh-CN"/>
        </w:rPr>
        <w:t>其他</w:t>
      </w:r>
      <w:r>
        <w:rPr>
          <w:rFonts w:hint="eastAsia" w:ascii="Times New Roman" w:hAnsi="Times New Roman" w:eastAsia="宋体"/>
          <w:lang w:val="en-US" w:eastAsia="zh-CN"/>
        </w:rPr>
        <w:t>专项施工方案，</w:t>
      </w:r>
      <w:r>
        <w:rPr>
          <w:rFonts w:hint="eastAsia"/>
          <w:lang w:val="en-US" w:eastAsia="zh-CN"/>
        </w:rPr>
        <w:t>应应用</w:t>
      </w:r>
      <w:r>
        <w:rPr>
          <w:rFonts w:hint="eastAsia" w:ascii="Times New Roman" w:hAnsi="Times New Roman" w:eastAsia="宋体"/>
          <w:lang w:val="en-US" w:eastAsia="zh-CN"/>
        </w:rPr>
        <w:t>虚拟建造</w:t>
      </w:r>
      <w:r>
        <w:rPr>
          <w:rFonts w:hint="eastAsia"/>
          <w:lang w:val="en-US" w:eastAsia="zh-CN"/>
        </w:rPr>
        <w:t>。</w:t>
      </w:r>
    </w:p>
    <w:p w14:paraId="42083F42">
      <w:pPr>
        <w:pStyle w:val="38"/>
        <w:numPr>
          <w:ilvl w:val="0"/>
          <w:numId w:val="31"/>
        </w:numPr>
        <w:bidi w:val="0"/>
        <w:ind w:left="0" w:leftChars="0" w:firstLine="0" w:firstLineChars="0"/>
        <w:rPr>
          <w:rFonts w:hint="default"/>
          <w:highlight w:val="none"/>
          <w:lang w:val="en-US" w:eastAsia="zh-CN"/>
        </w:rPr>
      </w:pPr>
      <w:r>
        <w:rPr>
          <w:rFonts w:hint="eastAsia"/>
          <w:highlight w:val="none"/>
          <w:lang w:val="en-US" w:eastAsia="zh-CN"/>
        </w:rPr>
        <w:t>对施工方案应用虚拟建造时，宜利用施工模型对工程对象的运输、吊装、安装施工过程进行受力分析。</w:t>
      </w:r>
    </w:p>
    <w:p w14:paraId="2F2AFDA7">
      <w:pPr>
        <w:pStyle w:val="38"/>
        <w:numPr>
          <w:ilvl w:val="0"/>
          <w:numId w:val="31"/>
        </w:numPr>
        <w:bidi w:val="0"/>
        <w:ind w:left="0" w:leftChars="0" w:firstLine="0" w:firstLineChars="0"/>
        <w:rPr>
          <w:rFonts w:hint="default"/>
          <w:lang w:val="en-US" w:eastAsia="zh-CN"/>
        </w:rPr>
      </w:pPr>
      <w:r>
        <w:rPr>
          <w:rFonts w:hint="eastAsia"/>
          <w:lang w:val="en-US" w:eastAsia="zh-CN"/>
        </w:rPr>
        <w:t>核岛安装工程中工程对象密集、工序复杂区域的施工逻辑分析与排布，宜应用虚拟建造。</w:t>
      </w:r>
    </w:p>
    <w:p w14:paraId="29ABB102">
      <w:pPr>
        <w:pStyle w:val="38"/>
        <w:numPr>
          <w:ilvl w:val="0"/>
          <w:numId w:val="31"/>
        </w:numPr>
        <w:bidi w:val="0"/>
        <w:ind w:left="0" w:leftChars="0" w:firstLine="0" w:firstLineChars="0"/>
        <w:rPr>
          <w:rFonts w:hint="default"/>
          <w:lang w:val="en-US" w:eastAsia="zh-CN"/>
        </w:rPr>
      </w:pPr>
      <w:r>
        <w:rPr>
          <w:rFonts w:hint="eastAsia"/>
          <w:lang w:val="en-US" w:eastAsia="zh-CN"/>
        </w:rPr>
        <w:t>施工逻辑分析与排布应用虚拟建造时，可使用自动化算法进行各专业安装工程对象的施工逻辑自动模拟。</w:t>
      </w:r>
    </w:p>
    <w:p w14:paraId="36F8C7A1">
      <w:pPr>
        <w:pStyle w:val="38"/>
        <w:numPr>
          <w:ilvl w:val="0"/>
          <w:numId w:val="31"/>
        </w:numPr>
        <w:bidi w:val="0"/>
        <w:ind w:left="0" w:leftChars="0" w:firstLine="0" w:firstLineChars="0"/>
        <w:rPr>
          <w:rFonts w:hint="default"/>
          <w:highlight w:val="none"/>
          <w:lang w:val="en-US" w:eastAsia="zh-CN"/>
        </w:rPr>
      </w:pPr>
      <w:r>
        <w:rPr>
          <w:rFonts w:hint="eastAsia"/>
          <w:highlight w:val="none"/>
          <w:lang w:val="en-US" w:eastAsia="zh-CN"/>
        </w:rPr>
        <w:t>进行虚拟建造时，宜附加或关联资源配置信息。</w:t>
      </w:r>
    </w:p>
    <w:p w14:paraId="7928858D">
      <w:pPr>
        <w:pStyle w:val="38"/>
        <w:numPr>
          <w:ilvl w:val="0"/>
          <w:numId w:val="31"/>
        </w:numPr>
        <w:bidi w:val="0"/>
        <w:ind w:left="0" w:leftChars="0" w:firstLine="0" w:firstLineChars="0"/>
        <w:rPr>
          <w:rFonts w:hint="default"/>
          <w:highlight w:val="none"/>
          <w:lang w:val="en-US" w:eastAsia="zh-CN"/>
        </w:rPr>
      </w:pPr>
      <w:r>
        <w:rPr>
          <w:rFonts w:hint="eastAsia"/>
          <w:highlight w:val="none"/>
          <w:lang w:val="en-US" w:eastAsia="zh-CN"/>
        </w:rPr>
        <w:t>虚拟建造形成的可视化成果，应向施工人员进行技术交底。</w:t>
      </w:r>
    </w:p>
    <w:p w14:paraId="442C18B6">
      <w:pPr>
        <w:pStyle w:val="3"/>
        <w:bidi w:val="0"/>
        <w:rPr>
          <w:rFonts w:hint="default"/>
          <w:lang w:val="en-US" w:eastAsia="zh-CN"/>
        </w:rPr>
      </w:pPr>
      <w:bookmarkStart w:id="117" w:name="_Toc18533"/>
      <w:bookmarkStart w:id="118" w:name="_Toc31531"/>
      <w:bookmarkStart w:id="119" w:name="_Toc7552"/>
      <w:bookmarkStart w:id="120" w:name="_Toc20845"/>
      <w:r>
        <w:rPr>
          <w:rFonts w:hint="eastAsia"/>
          <w:lang w:val="en-US" w:eastAsia="zh-CN"/>
        </w:rPr>
        <w:t>模块化设计</w:t>
      </w:r>
      <w:bookmarkEnd w:id="117"/>
      <w:bookmarkEnd w:id="118"/>
      <w:bookmarkEnd w:id="119"/>
    </w:p>
    <w:p w14:paraId="23D1FA8E">
      <w:pPr>
        <w:pStyle w:val="38"/>
        <w:numPr>
          <w:ilvl w:val="0"/>
          <w:numId w:val="32"/>
        </w:numPr>
        <w:bidi w:val="0"/>
        <w:ind w:left="0" w:leftChars="0" w:firstLine="0" w:firstLineChars="0"/>
        <w:rPr>
          <w:rFonts w:hint="eastAsia"/>
          <w:lang w:val="en-US" w:eastAsia="zh-CN"/>
        </w:rPr>
      </w:pPr>
      <w:r>
        <w:rPr>
          <w:rFonts w:hint="eastAsia"/>
          <w:lang w:val="en-US" w:eastAsia="zh-CN"/>
        </w:rPr>
        <w:t>技术准备BIM应用，宜利用施工图设计模型或深化设计模型进行模块化设计。</w:t>
      </w:r>
    </w:p>
    <w:p w14:paraId="5B7E53C9">
      <w:pPr>
        <w:pStyle w:val="38"/>
        <w:numPr>
          <w:ilvl w:val="0"/>
          <w:numId w:val="32"/>
        </w:numPr>
        <w:bidi w:val="0"/>
        <w:ind w:left="0" w:leftChars="0" w:firstLine="0" w:firstLineChars="0"/>
        <w:rPr>
          <w:rFonts w:hint="eastAsia"/>
          <w:lang w:val="en-US" w:eastAsia="zh-CN"/>
        </w:rPr>
      </w:pPr>
      <w:r>
        <w:rPr>
          <w:rFonts w:hint="eastAsia"/>
          <w:lang w:val="en-US" w:eastAsia="zh-CN"/>
        </w:rPr>
        <w:t>模块化设计宜利用施工模型输出模块化设计图、模块工程量清单和必要的模块三维模型。</w:t>
      </w:r>
    </w:p>
    <w:p w14:paraId="596616C0">
      <w:pPr>
        <w:pStyle w:val="38"/>
        <w:numPr>
          <w:ilvl w:val="0"/>
          <w:numId w:val="32"/>
        </w:numPr>
        <w:bidi w:val="0"/>
        <w:ind w:left="0" w:leftChars="0" w:firstLine="0" w:firstLineChars="0"/>
        <w:rPr>
          <w:rFonts w:hint="eastAsia"/>
          <w:highlight w:val="none"/>
          <w:lang w:val="en-US" w:eastAsia="zh-CN"/>
        </w:rPr>
      </w:pPr>
      <w:r>
        <w:rPr>
          <w:rFonts w:hint="eastAsia"/>
          <w:highlight w:val="none"/>
          <w:lang w:val="en-US" w:eastAsia="zh-CN"/>
        </w:rPr>
        <w:t>模块化设计图应包括二维图和必要的三维模型视图。</w:t>
      </w:r>
    </w:p>
    <w:p w14:paraId="7090E037">
      <w:pPr>
        <w:pStyle w:val="38"/>
        <w:numPr>
          <w:ilvl w:val="0"/>
          <w:numId w:val="32"/>
        </w:numPr>
        <w:bidi w:val="0"/>
        <w:ind w:left="0" w:leftChars="0" w:firstLine="0" w:firstLineChars="0"/>
        <w:rPr>
          <w:rFonts w:hint="eastAsia"/>
          <w:lang w:val="en-US" w:eastAsia="zh-CN"/>
        </w:rPr>
      </w:pPr>
      <w:r>
        <w:rPr>
          <w:rFonts w:hint="eastAsia"/>
          <w:lang w:val="en-US" w:eastAsia="zh-CN"/>
        </w:rPr>
        <w:t>利用施工模型进行模块化设计，应在模型中写入模块编号、模块化设计图号等模块化设计信息。</w:t>
      </w:r>
    </w:p>
    <w:p w14:paraId="6507C110">
      <w:pPr>
        <w:pStyle w:val="38"/>
        <w:numPr>
          <w:ilvl w:val="0"/>
          <w:numId w:val="32"/>
        </w:numPr>
        <w:bidi w:val="0"/>
        <w:ind w:left="0" w:leftChars="0" w:firstLine="0" w:firstLineChars="0"/>
        <w:rPr>
          <w:rFonts w:hint="eastAsia"/>
          <w:lang w:val="en-US" w:eastAsia="zh-CN"/>
        </w:rPr>
      </w:pPr>
      <w:r>
        <w:rPr>
          <w:rFonts w:hint="eastAsia"/>
          <w:lang w:val="en-US" w:eastAsia="zh-CN"/>
        </w:rPr>
        <w:t>模块化设计宜利用模块三维模型进行力学计算和加固措施设计。</w:t>
      </w:r>
    </w:p>
    <w:p w14:paraId="0E01B7A5">
      <w:pPr>
        <w:pStyle w:val="38"/>
        <w:numPr>
          <w:ilvl w:val="0"/>
          <w:numId w:val="32"/>
        </w:numPr>
        <w:bidi w:val="0"/>
        <w:ind w:left="0" w:leftChars="0" w:firstLine="0" w:firstLineChars="0"/>
      </w:pPr>
      <w:r>
        <w:rPr>
          <w:rFonts w:hint="eastAsia"/>
          <w:lang w:val="en-US" w:eastAsia="zh-CN"/>
        </w:rPr>
        <w:t>模块化设计后，宜对模块设计合理性、模块安装可行性进行可视化模拟。</w:t>
      </w:r>
      <w:r>
        <w:br w:type="page"/>
      </w:r>
    </w:p>
    <w:p w14:paraId="6151873B">
      <w:pPr>
        <w:pStyle w:val="2"/>
        <w:bidi w:val="0"/>
        <w:rPr>
          <w:rFonts w:hint="default"/>
          <w:lang w:val="en-US" w:eastAsia="zh-CN"/>
        </w:rPr>
      </w:pPr>
      <w:bookmarkStart w:id="121" w:name="_Toc11715"/>
      <w:bookmarkStart w:id="122" w:name="_Toc11264"/>
      <w:bookmarkStart w:id="123" w:name="_Toc18603"/>
      <w:r>
        <w:rPr>
          <w:rFonts w:hint="eastAsia"/>
          <w:lang w:val="en-US" w:eastAsia="zh-CN"/>
        </w:rPr>
        <w:t>预制加工</w:t>
      </w:r>
      <w:bookmarkEnd w:id="120"/>
      <w:bookmarkEnd w:id="121"/>
      <w:bookmarkEnd w:id="122"/>
      <w:bookmarkEnd w:id="123"/>
    </w:p>
    <w:p w14:paraId="19D81CC0">
      <w:pPr>
        <w:pStyle w:val="38"/>
        <w:numPr>
          <w:ilvl w:val="0"/>
          <w:numId w:val="33"/>
        </w:numPr>
        <w:bidi w:val="0"/>
        <w:ind w:left="0" w:leftChars="0" w:firstLine="0" w:firstLineChars="0"/>
      </w:pPr>
      <w:r>
        <w:rPr>
          <w:rFonts w:hint="eastAsia"/>
          <w:lang w:val="en-US" w:eastAsia="zh-CN"/>
        </w:rPr>
        <w:t>预制加工BIM应用宜从深化设计模型中获取加工依据。</w:t>
      </w:r>
    </w:p>
    <w:p w14:paraId="452901BC">
      <w:pPr>
        <w:pStyle w:val="38"/>
        <w:numPr>
          <w:ilvl w:val="0"/>
          <w:numId w:val="33"/>
        </w:numPr>
        <w:bidi w:val="0"/>
        <w:ind w:left="0" w:leftChars="0" w:firstLine="0" w:firstLineChars="0"/>
        <w:rPr>
          <w:highlight w:val="none"/>
        </w:rPr>
      </w:pPr>
      <w:r>
        <w:rPr>
          <w:rFonts w:hint="eastAsia"/>
          <w:highlight w:val="none"/>
          <w:lang w:val="en-US" w:eastAsia="zh-CN"/>
        </w:rPr>
        <w:t>预制加工BIM应用宜建立编码体系和工作流程。</w:t>
      </w:r>
    </w:p>
    <w:p w14:paraId="7D4E7920">
      <w:pPr>
        <w:pStyle w:val="38"/>
        <w:numPr>
          <w:ilvl w:val="0"/>
          <w:numId w:val="33"/>
        </w:numPr>
        <w:bidi w:val="0"/>
        <w:ind w:left="0" w:leftChars="0" w:firstLine="0" w:firstLineChars="0"/>
      </w:pPr>
      <w:r>
        <w:rPr>
          <w:rFonts w:hint="eastAsia"/>
          <w:lang w:val="en-US" w:eastAsia="zh-CN"/>
        </w:rPr>
        <w:t>预制加工BIM软件应具备预制加工图生成功能。</w:t>
      </w:r>
    </w:p>
    <w:p w14:paraId="0E6AB3F6">
      <w:pPr>
        <w:pStyle w:val="38"/>
        <w:numPr>
          <w:ilvl w:val="0"/>
          <w:numId w:val="33"/>
        </w:numPr>
        <w:bidi w:val="0"/>
        <w:ind w:left="0" w:leftChars="0" w:firstLine="0" w:firstLineChars="0"/>
      </w:pPr>
      <w:r>
        <w:rPr>
          <w:rFonts w:hint="eastAsia"/>
          <w:lang w:val="en-US" w:eastAsia="zh-CN"/>
        </w:rPr>
        <w:t>风管宜利用模型生成预制加工图。</w:t>
      </w:r>
    </w:p>
    <w:p w14:paraId="4BEFCA04">
      <w:pPr>
        <w:pStyle w:val="38"/>
        <w:numPr>
          <w:ilvl w:val="0"/>
          <w:numId w:val="33"/>
        </w:numPr>
        <w:bidi w:val="0"/>
        <w:ind w:left="0" w:leftChars="0" w:firstLine="0" w:firstLineChars="0"/>
      </w:pPr>
      <w:r>
        <w:rPr>
          <w:rFonts w:hint="eastAsia"/>
          <w:lang w:val="en-US" w:eastAsia="zh-CN"/>
        </w:rPr>
        <w:t>支吊架宜利用模型生成预制加工图。</w:t>
      </w:r>
    </w:p>
    <w:p w14:paraId="71737B97">
      <w:pPr>
        <w:pStyle w:val="38"/>
        <w:numPr>
          <w:ilvl w:val="0"/>
          <w:numId w:val="33"/>
        </w:numPr>
        <w:bidi w:val="0"/>
        <w:ind w:left="0" w:leftChars="0" w:firstLine="0" w:firstLineChars="0"/>
      </w:pPr>
      <w:r>
        <w:rPr>
          <w:rFonts w:hint="eastAsia"/>
          <w:lang w:val="en-US" w:eastAsia="zh-CN"/>
        </w:rPr>
        <w:t>模块及其加固措施宜利用模型生成预制加工图。</w:t>
      </w:r>
    </w:p>
    <w:p w14:paraId="4439029D">
      <w:pPr>
        <w:pStyle w:val="38"/>
        <w:numPr>
          <w:ilvl w:val="0"/>
          <w:numId w:val="33"/>
        </w:numPr>
        <w:bidi w:val="0"/>
        <w:ind w:left="0" w:leftChars="0" w:firstLine="0" w:firstLineChars="0"/>
      </w:pPr>
      <w:r>
        <w:rPr>
          <w:rFonts w:hint="eastAsia"/>
          <w:lang w:val="en-US" w:eastAsia="zh-CN"/>
        </w:rPr>
        <w:t>管道和设备的保温宜利用模型生成预制加工图。</w:t>
      </w:r>
    </w:p>
    <w:p w14:paraId="411BC6F3">
      <w:pPr>
        <w:pStyle w:val="38"/>
        <w:numPr>
          <w:ilvl w:val="0"/>
          <w:numId w:val="33"/>
        </w:numPr>
        <w:bidi w:val="0"/>
        <w:ind w:left="0" w:leftChars="0" w:firstLine="0" w:firstLineChars="0"/>
      </w:pPr>
      <w:r>
        <w:rPr>
          <w:rFonts w:hint="eastAsia"/>
          <w:lang w:val="en-US" w:eastAsia="zh-CN"/>
        </w:rPr>
        <w:t>预制加工BIM应用，</w:t>
      </w:r>
      <w:r>
        <w:rPr>
          <w:rFonts w:hint="eastAsia"/>
          <w:highlight w:val="none"/>
          <w:lang w:val="en-US" w:eastAsia="zh-CN"/>
        </w:rPr>
        <w:t>可采用数字化加工设备与BIM软件进行数据交换。</w:t>
      </w:r>
    </w:p>
    <w:p w14:paraId="4D643A9B">
      <w:pPr>
        <w:pStyle w:val="38"/>
        <w:numPr>
          <w:ilvl w:val="0"/>
          <w:numId w:val="33"/>
        </w:numPr>
        <w:bidi w:val="0"/>
        <w:ind w:left="0" w:leftChars="0" w:firstLine="0" w:firstLineChars="0"/>
      </w:pPr>
      <w:r>
        <w:rPr>
          <w:rFonts w:hint="eastAsia"/>
          <w:lang w:val="en-US" w:eastAsia="zh-CN"/>
        </w:rPr>
        <w:t>预制加工BIM应用成果宜包括预制加工图和预制加工模型。</w:t>
      </w:r>
    </w:p>
    <w:p w14:paraId="66BEB398">
      <w:pPr>
        <w:pStyle w:val="38"/>
        <w:numPr>
          <w:ilvl w:val="0"/>
          <w:numId w:val="33"/>
        </w:numPr>
        <w:bidi w:val="0"/>
        <w:ind w:left="0" w:leftChars="0" w:firstLine="0" w:firstLineChars="0"/>
        <w:rPr>
          <w:rFonts w:hint="default"/>
          <w:lang w:val="en-US" w:eastAsia="zh-CN"/>
        </w:rPr>
      </w:pPr>
      <w:r>
        <w:rPr>
          <w:rFonts w:hint="eastAsia"/>
          <w:lang w:val="en-US" w:eastAsia="zh-CN"/>
        </w:rPr>
        <w:t>预制加工完成情况信息应通过BIM平台附加到施工模型中。</w:t>
      </w:r>
    </w:p>
    <w:p w14:paraId="077C6984">
      <w:pPr>
        <w:pStyle w:val="38"/>
        <w:bidi w:val="0"/>
      </w:pPr>
    </w:p>
    <w:p w14:paraId="122EA9CE">
      <w:r>
        <w:br w:type="page"/>
      </w:r>
    </w:p>
    <w:p w14:paraId="6F94C0F2">
      <w:pPr>
        <w:pStyle w:val="2"/>
        <w:bidi w:val="0"/>
        <w:rPr>
          <w:rFonts w:hint="default"/>
          <w:lang w:val="en-US" w:eastAsia="zh-CN"/>
        </w:rPr>
      </w:pPr>
      <w:bookmarkStart w:id="124" w:name="_Toc24410"/>
      <w:bookmarkStart w:id="125" w:name="_Toc17870"/>
      <w:bookmarkStart w:id="126" w:name="_Toc19954"/>
      <w:bookmarkStart w:id="127" w:name="_Toc5342"/>
      <w:r>
        <w:rPr>
          <w:rFonts w:hint="eastAsia"/>
          <w:lang w:val="en-US" w:eastAsia="zh-CN"/>
        </w:rPr>
        <w:t>施工</w:t>
      </w:r>
      <w:bookmarkEnd w:id="124"/>
      <w:r>
        <w:rPr>
          <w:rFonts w:hint="eastAsia"/>
          <w:lang w:val="en-US" w:eastAsia="zh-CN"/>
        </w:rPr>
        <w:t>实施</w:t>
      </w:r>
      <w:bookmarkEnd w:id="125"/>
      <w:bookmarkEnd w:id="126"/>
      <w:bookmarkEnd w:id="127"/>
    </w:p>
    <w:p w14:paraId="192DED79">
      <w:pPr>
        <w:pStyle w:val="3"/>
        <w:bidi w:val="0"/>
        <w:rPr>
          <w:rFonts w:hint="default"/>
          <w:lang w:val="en-US" w:eastAsia="zh-CN"/>
        </w:rPr>
      </w:pPr>
      <w:bookmarkStart w:id="128" w:name="_Toc10776"/>
      <w:bookmarkStart w:id="129" w:name="_Toc16694"/>
      <w:bookmarkStart w:id="130" w:name="_Toc31722"/>
      <w:r>
        <w:rPr>
          <w:rFonts w:hint="eastAsia"/>
          <w:lang w:val="en-US" w:eastAsia="zh-CN"/>
        </w:rPr>
        <w:t>一般规定</w:t>
      </w:r>
      <w:bookmarkEnd w:id="128"/>
      <w:bookmarkEnd w:id="129"/>
      <w:bookmarkEnd w:id="130"/>
    </w:p>
    <w:p w14:paraId="1E692281">
      <w:pPr>
        <w:pStyle w:val="38"/>
        <w:numPr>
          <w:ilvl w:val="0"/>
          <w:numId w:val="34"/>
        </w:numPr>
        <w:bidi w:val="0"/>
        <w:ind w:left="0" w:leftChars="0" w:firstLine="0" w:firstLineChars="0"/>
        <w:rPr>
          <w:rFonts w:hint="default" w:ascii="Times New Roman" w:hAnsi="Times New Roman" w:eastAsia="宋体"/>
          <w:lang w:val="en-US" w:eastAsia="zh-CN"/>
        </w:rPr>
      </w:pPr>
      <w:r>
        <w:rPr>
          <w:rFonts w:hint="eastAsia" w:ascii="Times New Roman" w:hAnsi="Times New Roman" w:eastAsia="宋体"/>
          <w:lang w:val="en-US" w:eastAsia="zh-CN"/>
        </w:rPr>
        <w:t>施工实施阶段</w:t>
      </w:r>
      <w:r>
        <w:rPr>
          <w:rFonts w:hint="eastAsia"/>
          <w:lang w:val="en-US" w:eastAsia="zh-CN"/>
        </w:rPr>
        <w:t>应</w:t>
      </w:r>
      <w:r>
        <w:rPr>
          <w:rFonts w:hint="eastAsia" w:ascii="Times New Roman" w:hAnsi="Times New Roman" w:eastAsia="宋体"/>
          <w:lang w:val="en-US" w:eastAsia="zh-CN"/>
        </w:rPr>
        <w:t>结合项目特点和合同要求，开展BIM的各项施工应用。</w:t>
      </w:r>
    </w:p>
    <w:p w14:paraId="3CEFA8DA">
      <w:pPr>
        <w:pStyle w:val="38"/>
        <w:numPr>
          <w:ilvl w:val="0"/>
          <w:numId w:val="34"/>
        </w:numPr>
        <w:bidi w:val="0"/>
        <w:ind w:left="0" w:leftChars="0" w:firstLine="0" w:firstLineChars="0"/>
        <w:rPr>
          <w:rFonts w:hint="eastAsia" w:ascii="Times New Roman" w:hAnsi="Times New Roman" w:eastAsia="宋体"/>
          <w:lang w:val="en-US" w:eastAsia="zh-CN"/>
        </w:rPr>
      </w:pPr>
      <w:r>
        <w:rPr>
          <w:rFonts w:hint="eastAsia"/>
          <w:lang w:val="en-US" w:eastAsia="zh-CN"/>
        </w:rPr>
        <w:t>施工实施阶段的进度、质量、安全管理宜应用BIM。</w:t>
      </w:r>
    </w:p>
    <w:p w14:paraId="3ACDC735">
      <w:pPr>
        <w:pStyle w:val="38"/>
        <w:numPr>
          <w:ilvl w:val="0"/>
          <w:numId w:val="34"/>
        </w:numPr>
        <w:bidi w:val="0"/>
        <w:ind w:left="0" w:leftChars="0" w:firstLine="0" w:firstLineChars="0"/>
        <w:rPr>
          <w:rFonts w:hint="eastAsia" w:ascii="Times New Roman" w:hAnsi="Times New Roman" w:eastAsia="宋体"/>
          <w:lang w:val="en-US" w:eastAsia="zh-CN"/>
        </w:rPr>
      </w:pPr>
      <w:r>
        <w:rPr>
          <w:rFonts w:hint="eastAsia"/>
          <w:lang w:val="en-US" w:eastAsia="zh-CN"/>
        </w:rPr>
        <w:t>施工实施BIM应用，应基于施工图设计模型或深化设计模型开展。</w:t>
      </w:r>
    </w:p>
    <w:p w14:paraId="6D317132">
      <w:pPr>
        <w:pStyle w:val="38"/>
        <w:numPr>
          <w:ilvl w:val="0"/>
          <w:numId w:val="34"/>
        </w:numPr>
        <w:bidi w:val="0"/>
        <w:ind w:left="0" w:leftChars="0" w:firstLine="0" w:firstLineChars="0"/>
        <w:rPr>
          <w:rFonts w:hint="eastAsia" w:ascii="Times New Roman" w:hAnsi="Times New Roman" w:eastAsia="宋体"/>
          <w:lang w:val="en-US" w:eastAsia="zh-CN"/>
        </w:rPr>
      </w:pPr>
      <w:r>
        <w:rPr>
          <w:rFonts w:hint="default" w:ascii="Times New Roman" w:hAnsi="Times New Roman" w:eastAsia="宋体"/>
          <w:lang w:val="en-US" w:eastAsia="zh-CN"/>
        </w:rPr>
        <w:t>施工过程模型</w:t>
      </w:r>
      <w:r>
        <w:rPr>
          <w:rFonts w:hint="eastAsia" w:ascii="Times New Roman" w:hAnsi="Times New Roman" w:eastAsia="宋体"/>
          <w:lang w:val="en-US" w:eastAsia="zh-CN"/>
        </w:rPr>
        <w:t>中</w:t>
      </w:r>
      <w:r>
        <w:rPr>
          <w:rFonts w:hint="eastAsia"/>
          <w:lang w:val="en-US" w:eastAsia="zh-CN"/>
        </w:rPr>
        <w:t>附加或</w:t>
      </w:r>
      <w:r>
        <w:rPr>
          <w:rFonts w:hint="eastAsia" w:ascii="Times New Roman" w:hAnsi="Times New Roman" w:eastAsia="宋体"/>
          <w:lang w:val="en-US" w:eastAsia="zh-CN"/>
        </w:rPr>
        <w:t>关联的施工信息应包括进度、质量、安全管理</w:t>
      </w:r>
      <w:r>
        <w:rPr>
          <w:rFonts w:hint="eastAsia"/>
          <w:lang w:val="en-US" w:eastAsia="zh-CN"/>
        </w:rPr>
        <w:t>及其他施工</w:t>
      </w:r>
      <w:r>
        <w:rPr>
          <w:rFonts w:hint="eastAsia" w:ascii="Times New Roman" w:hAnsi="Times New Roman" w:eastAsia="宋体"/>
          <w:lang w:val="en-US" w:eastAsia="zh-CN"/>
        </w:rPr>
        <w:t>相关</w:t>
      </w:r>
      <w:r>
        <w:rPr>
          <w:rFonts w:hint="eastAsia"/>
          <w:lang w:val="en-US" w:eastAsia="zh-CN"/>
        </w:rPr>
        <w:t>资料及信息</w:t>
      </w:r>
      <w:r>
        <w:rPr>
          <w:rFonts w:hint="eastAsia" w:ascii="Times New Roman" w:hAnsi="Times New Roman" w:eastAsia="宋体"/>
          <w:lang w:val="en-US" w:eastAsia="zh-CN"/>
        </w:rPr>
        <w:t>。</w:t>
      </w:r>
    </w:p>
    <w:p w14:paraId="1F8C3692">
      <w:pPr>
        <w:pStyle w:val="38"/>
        <w:numPr>
          <w:ilvl w:val="0"/>
          <w:numId w:val="34"/>
        </w:numPr>
        <w:bidi w:val="0"/>
        <w:ind w:left="0" w:leftChars="0" w:firstLine="0" w:firstLineChars="0"/>
        <w:rPr>
          <w:rFonts w:hint="eastAsia" w:ascii="Times New Roman" w:hAnsi="Times New Roman" w:eastAsia="宋体"/>
          <w:lang w:val="en-US" w:eastAsia="zh-CN"/>
        </w:rPr>
      </w:pPr>
      <w:r>
        <w:rPr>
          <w:rFonts w:hint="eastAsia"/>
          <w:lang w:val="en-US" w:eastAsia="zh-CN"/>
        </w:rPr>
        <w:t>宜使用BIM平台开展施工实施BIM应用。</w:t>
      </w:r>
    </w:p>
    <w:p w14:paraId="1D003A18">
      <w:pPr>
        <w:pStyle w:val="38"/>
        <w:numPr>
          <w:ilvl w:val="0"/>
          <w:numId w:val="34"/>
        </w:numPr>
        <w:bidi w:val="0"/>
        <w:ind w:left="0" w:leftChars="0" w:firstLine="0" w:firstLineChars="0"/>
        <w:rPr>
          <w:rFonts w:hint="default" w:ascii="Times New Roman" w:hAnsi="Times New Roman" w:eastAsia="宋体"/>
          <w:lang w:val="en-US" w:eastAsia="zh-CN"/>
        </w:rPr>
      </w:pPr>
      <w:r>
        <w:rPr>
          <w:rFonts w:hint="eastAsia"/>
          <w:lang w:val="en-US" w:eastAsia="zh-CN"/>
        </w:rPr>
        <w:t>施工过程中应根据变更及时维护施工模型，并将变更资料与对应模型关联。</w:t>
      </w:r>
    </w:p>
    <w:p w14:paraId="7C8B1437">
      <w:pPr>
        <w:pStyle w:val="3"/>
        <w:bidi w:val="0"/>
        <w:rPr>
          <w:rFonts w:hint="default"/>
          <w:lang w:val="en-US" w:eastAsia="zh-CN"/>
        </w:rPr>
      </w:pPr>
      <w:bookmarkStart w:id="131" w:name="_Toc5147"/>
      <w:bookmarkStart w:id="132" w:name="_Toc31575"/>
      <w:bookmarkStart w:id="133" w:name="_Toc14548"/>
      <w:bookmarkStart w:id="134" w:name="_Toc6861"/>
      <w:r>
        <w:rPr>
          <w:rFonts w:hint="eastAsia"/>
          <w:lang w:val="en-US" w:eastAsia="zh-CN"/>
        </w:rPr>
        <w:t>施工应用</w:t>
      </w:r>
      <w:bookmarkEnd w:id="131"/>
      <w:bookmarkEnd w:id="132"/>
      <w:bookmarkEnd w:id="133"/>
      <w:bookmarkEnd w:id="134"/>
    </w:p>
    <w:p w14:paraId="590C06E2">
      <w:pPr>
        <w:pStyle w:val="38"/>
        <w:numPr>
          <w:ilvl w:val="0"/>
          <w:numId w:val="35"/>
        </w:numPr>
        <w:bidi w:val="0"/>
        <w:ind w:left="0" w:leftChars="0" w:firstLine="0" w:firstLineChars="0"/>
        <w:rPr>
          <w:rFonts w:hint="default" w:ascii="Times New Roman" w:hAnsi="Times New Roman" w:eastAsia="宋体"/>
          <w:highlight w:val="none"/>
          <w:lang w:val="en-US" w:eastAsia="zh-CN"/>
        </w:rPr>
      </w:pPr>
      <w:r>
        <w:rPr>
          <w:rFonts w:hint="eastAsia"/>
          <w:highlight w:val="none"/>
          <w:lang w:val="en-US" w:eastAsia="zh-CN"/>
        </w:rPr>
        <w:t>施工实施BIM应用，宜在BIM平台上开展施工过程模型浏览等可视化应用。设计和施工信息查询等可视化应用。</w:t>
      </w:r>
    </w:p>
    <w:p w14:paraId="1165F99B">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lang w:val="en-US" w:eastAsia="zh-CN"/>
        </w:rPr>
        <w:t>施工实施BIM应用，宜将施工过程模型附加或关联条形码、电子标签等物联网标识信息，并宜以房间为单位拆分模型。</w:t>
      </w:r>
    </w:p>
    <w:p w14:paraId="00666A1B">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lang w:val="en-US" w:eastAsia="zh-CN"/>
        </w:rPr>
        <w:t>施工过程中的管道焊口，可通过模型在BIM平台中进行可视化管理。</w:t>
      </w:r>
    </w:p>
    <w:p w14:paraId="5C5A2A74">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highlight w:val="none"/>
          <w:lang w:val="en-US" w:eastAsia="zh-CN"/>
        </w:rPr>
        <w:t>施工过程中的自动焊应用，宜应用BIM分析自动焊设备的空间可达性。</w:t>
      </w:r>
    </w:p>
    <w:p w14:paraId="4A16C40C">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lang w:val="en-US" w:eastAsia="zh-CN"/>
        </w:rPr>
        <w:t>施工实施BIM应用，可考虑应用三维模型施工。</w:t>
      </w:r>
    </w:p>
    <w:p w14:paraId="0C27C640">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lang w:val="en-US" w:eastAsia="zh-CN"/>
        </w:rPr>
        <w:t>三维模型施工宜基于BIM平台开展。</w:t>
      </w:r>
    </w:p>
    <w:p w14:paraId="6AC66F68">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lang w:val="en-US" w:eastAsia="zh-CN"/>
        </w:rPr>
        <w:t>施工实施BIM应用，宜结合使用虚拟现实技术。</w:t>
      </w:r>
    </w:p>
    <w:p w14:paraId="48CC1195">
      <w:pPr>
        <w:pStyle w:val="38"/>
        <w:numPr>
          <w:ilvl w:val="0"/>
          <w:numId w:val="35"/>
        </w:numPr>
        <w:bidi w:val="0"/>
        <w:ind w:left="0" w:leftChars="0" w:firstLine="0" w:firstLineChars="0"/>
        <w:rPr>
          <w:rFonts w:hint="default" w:ascii="Times New Roman" w:hAnsi="Times New Roman" w:eastAsia="宋体"/>
          <w:highlight w:val="none"/>
          <w:lang w:val="en-US" w:eastAsia="zh-CN"/>
        </w:rPr>
      </w:pPr>
      <w:r>
        <w:rPr>
          <w:rFonts w:hint="eastAsia"/>
          <w:highlight w:val="none"/>
          <w:lang w:val="en-US" w:eastAsia="zh-CN"/>
        </w:rPr>
        <w:t>施工实施BIM应用，宜结合使用三维激光扫描技术。</w:t>
      </w:r>
    </w:p>
    <w:p w14:paraId="01B61FFB">
      <w:pPr>
        <w:pStyle w:val="38"/>
        <w:numPr>
          <w:ilvl w:val="0"/>
          <w:numId w:val="35"/>
        </w:numPr>
        <w:bidi w:val="0"/>
        <w:ind w:left="0" w:leftChars="0" w:firstLine="0" w:firstLineChars="0"/>
        <w:rPr>
          <w:rFonts w:hint="default" w:ascii="Times New Roman" w:hAnsi="Times New Roman" w:eastAsia="宋体"/>
          <w:lang w:val="en-US" w:eastAsia="zh-CN"/>
        </w:rPr>
      </w:pPr>
      <w:r>
        <w:rPr>
          <w:rFonts w:hint="eastAsia"/>
          <w:lang w:val="en-US" w:eastAsia="zh-CN"/>
        </w:rPr>
        <w:t>施工过程中管道系统的密封性、功能性试验宜应用BIM，通过模型可视化试验点、试验边界，并在模型上附加或关联试验相关资料及信息。</w:t>
      </w:r>
    </w:p>
    <w:p w14:paraId="767F72DD">
      <w:pPr>
        <w:pStyle w:val="38"/>
        <w:numPr>
          <w:ilvl w:val="0"/>
          <w:numId w:val="35"/>
        </w:numPr>
        <w:bidi w:val="0"/>
        <w:ind w:left="0" w:leftChars="0" w:firstLine="0" w:firstLineChars="0"/>
        <w:rPr>
          <w:rFonts w:hint="default"/>
          <w:lang w:val="en-US" w:eastAsia="zh-CN"/>
        </w:rPr>
      </w:pPr>
      <w:r>
        <w:rPr>
          <w:rFonts w:hint="eastAsia"/>
          <w:lang w:val="en-US" w:eastAsia="zh-CN"/>
        </w:rPr>
        <w:t>BIM平台应能够支持根据施工过程中各项应用的实际需求进行定制化开发。</w:t>
      </w:r>
    </w:p>
    <w:p w14:paraId="33423248">
      <w:pPr>
        <w:pStyle w:val="3"/>
        <w:bidi w:val="0"/>
        <w:rPr>
          <w:rFonts w:hint="eastAsia"/>
          <w:lang w:val="en-US" w:eastAsia="zh-CN"/>
        </w:rPr>
      </w:pPr>
      <w:bookmarkStart w:id="135" w:name="_Toc1715"/>
      <w:bookmarkStart w:id="136" w:name="_Toc3497"/>
      <w:bookmarkStart w:id="137" w:name="_Toc27460"/>
      <w:bookmarkStart w:id="138" w:name="_Toc19821"/>
      <w:r>
        <w:rPr>
          <w:rFonts w:hint="eastAsia"/>
          <w:lang w:val="en-US" w:eastAsia="zh-CN"/>
        </w:rPr>
        <w:t>进度管理</w:t>
      </w:r>
      <w:bookmarkEnd w:id="135"/>
      <w:bookmarkEnd w:id="136"/>
      <w:bookmarkEnd w:id="137"/>
      <w:bookmarkEnd w:id="138"/>
    </w:p>
    <w:p w14:paraId="28AFD5F1">
      <w:pPr>
        <w:pStyle w:val="38"/>
        <w:numPr>
          <w:ilvl w:val="0"/>
          <w:numId w:val="36"/>
        </w:numPr>
        <w:bidi w:val="0"/>
        <w:ind w:left="0" w:leftChars="0" w:firstLine="0" w:firstLineChars="0"/>
        <w:rPr>
          <w:rFonts w:hint="eastAsia"/>
          <w:lang w:val="en-US" w:eastAsia="zh-CN"/>
        </w:rPr>
      </w:pPr>
      <w:r>
        <w:rPr>
          <w:rFonts w:hint="eastAsia"/>
          <w:lang w:val="en-US" w:eastAsia="zh-CN"/>
        </w:rPr>
        <w:t>进度管理中的</w:t>
      </w:r>
      <w:r>
        <w:rPr>
          <w:rFonts w:hint="eastAsia"/>
          <w:highlight w:val="none"/>
          <w:lang w:val="en-US" w:eastAsia="zh-CN"/>
        </w:rPr>
        <w:t>进度计划制定、形象进度可视化、进度对比分析、进度预警等</w:t>
      </w:r>
      <w:r>
        <w:rPr>
          <w:rFonts w:hint="eastAsia"/>
          <w:lang w:val="en-US" w:eastAsia="zh-CN"/>
        </w:rPr>
        <w:t>宜应用BIM。</w:t>
      </w:r>
    </w:p>
    <w:p w14:paraId="07C5E7D2">
      <w:pPr>
        <w:pStyle w:val="38"/>
        <w:numPr>
          <w:ilvl w:val="0"/>
          <w:numId w:val="36"/>
        </w:numPr>
        <w:bidi w:val="0"/>
        <w:ind w:left="0" w:leftChars="0" w:firstLine="0" w:firstLineChars="0"/>
        <w:rPr>
          <w:rFonts w:hint="eastAsia"/>
          <w:lang w:val="en-US" w:eastAsia="zh-CN"/>
        </w:rPr>
      </w:pPr>
      <w:r>
        <w:rPr>
          <w:rFonts w:hint="eastAsia"/>
          <w:lang w:val="en-US" w:eastAsia="zh-CN"/>
        </w:rPr>
        <w:t>进度管理BIM应用，宜基于深化设计模型开展。</w:t>
      </w:r>
    </w:p>
    <w:p w14:paraId="31387A2F">
      <w:pPr>
        <w:pStyle w:val="38"/>
        <w:numPr>
          <w:ilvl w:val="0"/>
          <w:numId w:val="36"/>
        </w:numPr>
        <w:bidi w:val="0"/>
        <w:ind w:left="0" w:leftChars="0" w:firstLine="0" w:firstLineChars="0"/>
        <w:rPr>
          <w:rFonts w:hint="eastAsia"/>
          <w:lang w:val="en-US" w:eastAsia="zh-CN"/>
        </w:rPr>
      </w:pPr>
      <w:r>
        <w:rPr>
          <w:rFonts w:hint="eastAsia"/>
          <w:lang w:val="en-US" w:eastAsia="zh-CN"/>
        </w:rPr>
        <w:t>进度管理BIM应用，应根据工作分解结构对施工模型进行拆分或合并处理，并附加或关联时间信息形成进度管理模型。</w:t>
      </w:r>
    </w:p>
    <w:p w14:paraId="432A680D">
      <w:pPr>
        <w:pStyle w:val="38"/>
        <w:numPr>
          <w:ilvl w:val="0"/>
          <w:numId w:val="36"/>
        </w:numPr>
        <w:bidi w:val="0"/>
        <w:ind w:left="0" w:leftChars="0" w:firstLine="0" w:firstLineChars="0"/>
        <w:rPr>
          <w:rFonts w:hint="eastAsia"/>
          <w:lang w:val="en-US" w:eastAsia="zh-CN"/>
        </w:rPr>
      </w:pPr>
      <w:r>
        <w:rPr>
          <w:rFonts w:hint="eastAsia"/>
          <w:lang w:val="en-US" w:eastAsia="zh-CN"/>
        </w:rPr>
        <w:t>进度管理模型宜附加或关联计划进度、实际进度和资源配置等信息。</w:t>
      </w:r>
    </w:p>
    <w:p w14:paraId="355EB4B8">
      <w:pPr>
        <w:pStyle w:val="38"/>
        <w:numPr>
          <w:ilvl w:val="0"/>
          <w:numId w:val="36"/>
        </w:numPr>
        <w:bidi w:val="0"/>
        <w:ind w:left="0" w:leftChars="0" w:firstLine="0" w:firstLineChars="0"/>
        <w:rPr>
          <w:rFonts w:hint="eastAsia"/>
          <w:lang w:val="en-US" w:eastAsia="zh-CN"/>
        </w:rPr>
      </w:pPr>
      <w:r>
        <w:rPr>
          <w:rFonts w:hint="eastAsia"/>
          <w:lang w:val="en-US" w:eastAsia="zh-CN"/>
        </w:rPr>
        <w:t>进度管理BIM应用，宜基于进度管理模型计算各任务节点的工程量，并基于定额确定资源配置。</w:t>
      </w:r>
    </w:p>
    <w:p w14:paraId="1B591A1B">
      <w:pPr>
        <w:pStyle w:val="38"/>
        <w:numPr>
          <w:ilvl w:val="0"/>
          <w:numId w:val="36"/>
        </w:numPr>
        <w:bidi w:val="0"/>
        <w:ind w:left="0" w:leftChars="0" w:firstLine="0" w:firstLineChars="0"/>
        <w:rPr>
          <w:rFonts w:hint="eastAsia"/>
          <w:lang w:val="en-US" w:eastAsia="zh-CN"/>
        </w:rPr>
      </w:pPr>
      <w:r>
        <w:rPr>
          <w:rFonts w:hint="eastAsia"/>
          <w:lang w:val="en-US" w:eastAsia="zh-CN"/>
        </w:rPr>
        <w:t>进度管理BIM应用，应对实际进度的原始数据进行收集、整理、统计和分析，并宜将实际进度信息附加或关联到进度管理模型。</w:t>
      </w:r>
    </w:p>
    <w:p w14:paraId="3BCEF25A">
      <w:pPr>
        <w:pStyle w:val="38"/>
        <w:numPr>
          <w:ilvl w:val="0"/>
          <w:numId w:val="36"/>
        </w:numPr>
        <w:bidi w:val="0"/>
        <w:ind w:left="0" w:leftChars="0" w:firstLine="0" w:firstLineChars="0"/>
        <w:rPr>
          <w:rFonts w:hint="eastAsia"/>
          <w:highlight w:val="none"/>
          <w:lang w:val="en-US" w:eastAsia="zh-CN"/>
        </w:rPr>
      </w:pPr>
      <w:r>
        <w:rPr>
          <w:rFonts w:hint="eastAsia"/>
          <w:highlight w:val="none"/>
          <w:lang w:val="en-US" w:eastAsia="zh-CN"/>
        </w:rPr>
        <w:t>进度计划制定BIM应用宜结合工作分解结构、资源配置和施工逻辑，以及项目进度计划的要求开展。</w:t>
      </w:r>
    </w:p>
    <w:p w14:paraId="45B61C9C">
      <w:pPr>
        <w:pStyle w:val="38"/>
        <w:numPr>
          <w:ilvl w:val="0"/>
          <w:numId w:val="36"/>
        </w:numPr>
        <w:bidi w:val="0"/>
        <w:ind w:left="0" w:leftChars="0" w:firstLine="0" w:firstLineChars="0"/>
        <w:rPr>
          <w:rFonts w:hint="eastAsia"/>
          <w:highlight w:val="none"/>
          <w:lang w:val="en-US" w:eastAsia="zh-CN"/>
        </w:rPr>
      </w:pPr>
      <w:r>
        <w:rPr>
          <w:rFonts w:hint="eastAsia"/>
          <w:highlight w:val="none"/>
          <w:lang w:val="en-US" w:eastAsia="zh-CN"/>
        </w:rPr>
        <w:t>进度计划制定时，工作分解结构应按照机组、厂房、区域、专业、系统、管线等分解，并应满足下列要求：</w:t>
      </w:r>
    </w:p>
    <w:p w14:paraId="403ED427">
      <w:pPr>
        <w:pStyle w:val="38"/>
        <w:keepNext w:val="0"/>
        <w:keepLines w:val="0"/>
        <w:pageBreakBefore w:val="0"/>
        <w:widowControl w:val="0"/>
        <w:numPr>
          <w:ilvl w:val="0"/>
          <w:numId w:val="37"/>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工作分解结构宜达到支持</w:t>
      </w:r>
      <w:r>
        <w:rPr>
          <w:rFonts w:hint="eastAsia"/>
          <w:lang w:val="en-US" w:eastAsia="zh-CN"/>
        </w:rPr>
        <w:t>制定</w:t>
      </w:r>
      <w:r>
        <w:rPr>
          <w:rFonts w:hint="eastAsia"/>
          <w:highlight w:val="none"/>
          <w:lang w:val="en-US" w:eastAsia="zh-CN"/>
        </w:rPr>
        <w:t>进度计划的详细程度；</w:t>
      </w:r>
    </w:p>
    <w:p w14:paraId="0879B3DF">
      <w:pPr>
        <w:pStyle w:val="38"/>
        <w:keepNext w:val="0"/>
        <w:keepLines w:val="0"/>
        <w:pageBreakBefore w:val="0"/>
        <w:widowControl w:val="0"/>
        <w:numPr>
          <w:ilvl w:val="0"/>
          <w:numId w:val="37"/>
        </w:numPr>
        <w:kinsoku/>
        <w:wordWrap/>
        <w:overflowPunct/>
        <w:topLinePunct w:val="0"/>
        <w:autoSpaceDE/>
        <w:autoSpaceDN/>
        <w:bidi w:val="0"/>
        <w:adjustRightInd/>
        <w:snapToGrid/>
        <w:ind w:left="0" w:leftChars="0" w:firstLine="480" w:firstLineChars="200"/>
        <w:textAlignment w:val="auto"/>
        <w:rPr>
          <w:rFonts w:hint="eastAsia"/>
          <w:highlight w:val="none"/>
          <w:lang w:val="en-US" w:eastAsia="zh-CN"/>
        </w:rPr>
      </w:pPr>
      <w:r>
        <w:rPr>
          <w:rFonts w:hint="eastAsia"/>
          <w:highlight w:val="none"/>
          <w:lang w:val="en-US" w:eastAsia="zh-CN"/>
        </w:rPr>
        <w:t>按照工作分解结构创建的施工模型应与施工流程对应。</w:t>
      </w:r>
    </w:p>
    <w:p w14:paraId="686547B9">
      <w:pPr>
        <w:pStyle w:val="38"/>
        <w:numPr>
          <w:ilvl w:val="0"/>
          <w:numId w:val="36"/>
        </w:numPr>
        <w:bidi w:val="0"/>
        <w:ind w:left="0" w:leftChars="0" w:firstLine="0" w:firstLineChars="0"/>
        <w:rPr>
          <w:rFonts w:hint="eastAsia"/>
          <w:lang w:val="en-US" w:eastAsia="zh-CN"/>
        </w:rPr>
      </w:pPr>
      <w:r>
        <w:rPr>
          <w:rFonts w:hint="eastAsia"/>
          <w:lang w:val="en-US" w:eastAsia="zh-CN"/>
        </w:rPr>
        <w:t>形象进度可视化、进度对比分析、进度预警应用BIM宜在BIM平台中开展。</w:t>
      </w:r>
    </w:p>
    <w:p w14:paraId="35B049E1">
      <w:pPr>
        <w:pStyle w:val="38"/>
        <w:numPr>
          <w:ilvl w:val="0"/>
          <w:numId w:val="36"/>
        </w:numPr>
        <w:bidi w:val="0"/>
        <w:ind w:left="0" w:leftChars="0" w:firstLine="0" w:firstLineChars="0"/>
        <w:rPr>
          <w:rFonts w:hint="eastAsia"/>
          <w:lang w:val="en-US" w:eastAsia="zh-CN"/>
        </w:rPr>
      </w:pPr>
      <w:r>
        <w:rPr>
          <w:rFonts w:hint="eastAsia"/>
          <w:lang w:val="en-US" w:eastAsia="zh-CN"/>
        </w:rPr>
        <w:t>形象进度可视化时，宜基于附加或关联到进度管理模型上的计划进度和实际进度，按时间先后顺序加载相应模型，完成进度可视化模拟。在模拟过程中可同步显示资源配置信息。</w:t>
      </w:r>
    </w:p>
    <w:p w14:paraId="54DA19D2">
      <w:pPr>
        <w:pStyle w:val="38"/>
        <w:numPr>
          <w:ilvl w:val="0"/>
          <w:numId w:val="36"/>
        </w:numPr>
        <w:bidi w:val="0"/>
        <w:ind w:left="0" w:leftChars="0" w:firstLine="0" w:firstLineChars="0"/>
        <w:rPr>
          <w:rFonts w:hint="default"/>
          <w:lang w:val="en-US" w:eastAsia="zh-CN"/>
        </w:rPr>
      </w:pPr>
      <w:r>
        <w:rPr>
          <w:rFonts w:hint="eastAsia"/>
          <w:lang w:val="en-US" w:eastAsia="zh-CN"/>
        </w:rPr>
        <w:t>进度对比分析时，应基于进度管理模型对项目实际进度与计划进度计算出进度时差。</w:t>
      </w:r>
    </w:p>
    <w:p w14:paraId="3D887DA0">
      <w:pPr>
        <w:pStyle w:val="38"/>
        <w:numPr>
          <w:ilvl w:val="0"/>
          <w:numId w:val="36"/>
        </w:numPr>
        <w:bidi w:val="0"/>
        <w:ind w:left="0" w:leftChars="0" w:firstLine="0" w:firstLineChars="0"/>
        <w:rPr>
          <w:rFonts w:hint="eastAsia"/>
          <w:lang w:val="en-US" w:eastAsia="zh-CN"/>
        </w:rPr>
      </w:pPr>
      <w:r>
        <w:rPr>
          <w:rFonts w:hint="eastAsia"/>
          <w:lang w:val="en-US" w:eastAsia="zh-CN"/>
        </w:rPr>
        <w:t>进度预警时，应制定预警规则，明确预警提前量和预警节点，并在BIM平台中生成进度预警信息。</w:t>
      </w:r>
    </w:p>
    <w:p w14:paraId="15173568">
      <w:pPr>
        <w:pStyle w:val="38"/>
        <w:numPr>
          <w:ilvl w:val="0"/>
          <w:numId w:val="36"/>
        </w:numPr>
        <w:bidi w:val="0"/>
        <w:ind w:left="0" w:leftChars="0" w:firstLine="0" w:firstLineChars="0"/>
        <w:rPr>
          <w:rFonts w:hint="default"/>
          <w:lang w:val="en-US" w:eastAsia="zh-CN"/>
        </w:rPr>
      </w:pPr>
      <w:r>
        <w:rPr>
          <w:rFonts w:hint="eastAsia"/>
          <w:lang w:val="en-US" w:eastAsia="zh-CN"/>
        </w:rPr>
        <w:t>项目后续进度计划应根据进度对比分析结果和进度预警信息进行调整，进度管理模型应作相应更新。</w:t>
      </w:r>
    </w:p>
    <w:p w14:paraId="766FFF52">
      <w:pPr>
        <w:pStyle w:val="38"/>
        <w:numPr>
          <w:ilvl w:val="0"/>
          <w:numId w:val="36"/>
        </w:numPr>
        <w:bidi w:val="0"/>
        <w:ind w:left="0" w:leftChars="0" w:firstLine="0" w:firstLineChars="0"/>
        <w:rPr>
          <w:rFonts w:hint="eastAsia" w:ascii="Times New Roman" w:hAnsi="Times New Roman" w:eastAsia="宋体"/>
          <w:lang w:val="en-US" w:eastAsia="zh-CN"/>
        </w:rPr>
      </w:pPr>
      <w:r>
        <w:rPr>
          <w:rFonts w:hint="eastAsia"/>
          <w:lang w:val="en-US" w:eastAsia="zh-CN"/>
        </w:rPr>
        <w:t>进度管理BIM应用成果宜包括</w:t>
      </w:r>
      <w:r>
        <w:rPr>
          <w:rFonts w:hint="eastAsia" w:ascii="Times New Roman" w:hAnsi="Times New Roman" w:eastAsia="宋体"/>
          <w:lang w:val="en-US" w:eastAsia="zh-CN"/>
        </w:rPr>
        <w:t>进度管理模型</w:t>
      </w:r>
      <w:r>
        <w:rPr>
          <w:rFonts w:hint="eastAsia"/>
          <w:lang w:val="en-US" w:eastAsia="zh-CN"/>
        </w:rPr>
        <w:t>、形象</w:t>
      </w:r>
      <w:r>
        <w:rPr>
          <w:rFonts w:hint="eastAsia" w:ascii="Times New Roman" w:hAnsi="Times New Roman" w:eastAsia="宋体"/>
          <w:lang w:val="en-US" w:eastAsia="zh-CN"/>
        </w:rPr>
        <w:t>进度模拟视频</w:t>
      </w:r>
      <w:r>
        <w:rPr>
          <w:rFonts w:hint="eastAsia"/>
          <w:lang w:val="en-US" w:eastAsia="zh-CN"/>
        </w:rPr>
        <w:t>、</w:t>
      </w:r>
      <w:r>
        <w:rPr>
          <w:rFonts w:hint="eastAsia" w:ascii="Times New Roman" w:hAnsi="Times New Roman" w:eastAsia="宋体"/>
          <w:highlight w:val="none"/>
          <w:lang w:val="en-US" w:eastAsia="zh-CN"/>
        </w:rPr>
        <w:t>进度预警报告</w:t>
      </w:r>
      <w:r>
        <w:rPr>
          <w:rFonts w:hint="eastAsia"/>
          <w:highlight w:val="none"/>
          <w:lang w:val="en-US" w:eastAsia="zh-CN"/>
        </w:rPr>
        <w:t>、</w:t>
      </w:r>
      <w:r>
        <w:rPr>
          <w:rFonts w:hint="eastAsia"/>
          <w:lang w:val="en-US" w:eastAsia="zh-CN"/>
        </w:rPr>
        <w:t>进度计划变更文档等</w:t>
      </w:r>
      <w:r>
        <w:rPr>
          <w:rFonts w:hint="eastAsia" w:ascii="Times New Roman" w:hAnsi="Times New Roman" w:eastAsia="宋体"/>
          <w:lang w:val="en-US" w:eastAsia="zh-CN"/>
        </w:rPr>
        <w:t>。</w:t>
      </w:r>
    </w:p>
    <w:p w14:paraId="26035644">
      <w:pPr>
        <w:pStyle w:val="3"/>
        <w:bidi w:val="0"/>
        <w:rPr>
          <w:rFonts w:hint="default"/>
          <w:lang w:val="en-US" w:eastAsia="zh-CN"/>
        </w:rPr>
      </w:pPr>
      <w:bookmarkStart w:id="139" w:name="_Toc3150"/>
      <w:bookmarkStart w:id="140" w:name="_Toc7708"/>
      <w:bookmarkStart w:id="141" w:name="_Toc1216"/>
      <w:bookmarkStart w:id="142" w:name="_Toc20542"/>
      <w:r>
        <w:rPr>
          <w:rFonts w:hint="eastAsia"/>
          <w:lang w:val="en-US" w:eastAsia="zh-CN"/>
        </w:rPr>
        <w:t>质量管理</w:t>
      </w:r>
      <w:bookmarkEnd w:id="139"/>
      <w:bookmarkEnd w:id="140"/>
      <w:bookmarkEnd w:id="141"/>
      <w:bookmarkEnd w:id="142"/>
    </w:p>
    <w:p w14:paraId="4A8FFEAF">
      <w:pPr>
        <w:pStyle w:val="38"/>
        <w:numPr>
          <w:ilvl w:val="0"/>
          <w:numId w:val="38"/>
        </w:numPr>
        <w:bidi w:val="0"/>
        <w:ind w:left="0" w:leftChars="0" w:firstLine="0" w:firstLineChars="0"/>
        <w:rPr>
          <w:rFonts w:hint="eastAsia"/>
          <w:lang w:val="en-US" w:eastAsia="zh-CN"/>
        </w:rPr>
      </w:pPr>
      <w:r>
        <w:rPr>
          <w:rFonts w:hint="eastAsia"/>
          <w:lang w:val="en-US" w:eastAsia="zh-CN"/>
        </w:rPr>
        <w:t>质量管理中的质量检查、质量问题分析、质量问题处理等宜应用BIM。</w:t>
      </w:r>
    </w:p>
    <w:p w14:paraId="60179426">
      <w:pPr>
        <w:pStyle w:val="38"/>
        <w:numPr>
          <w:ilvl w:val="0"/>
          <w:numId w:val="38"/>
        </w:numPr>
        <w:bidi w:val="0"/>
        <w:ind w:left="0" w:leftChars="0" w:firstLine="0" w:firstLineChars="0"/>
        <w:rPr>
          <w:rFonts w:hint="eastAsia"/>
          <w:lang w:val="en-US" w:eastAsia="zh-CN"/>
        </w:rPr>
      </w:pPr>
      <w:r>
        <w:rPr>
          <w:rFonts w:hint="eastAsia"/>
          <w:lang w:val="en-US" w:eastAsia="zh-CN"/>
        </w:rPr>
        <w:t>质量管理BIM应用，宜基于深化设计模型开展。</w:t>
      </w:r>
    </w:p>
    <w:p w14:paraId="6EC076D4">
      <w:pPr>
        <w:pStyle w:val="38"/>
        <w:numPr>
          <w:ilvl w:val="0"/>
          <w:numId w:val="38"/>
        </w:numPr>
        <w:bidi w:val="0"/>
        <w:ind w:left="0" w:leftChars="0" w:firstLine="0" w:firstLineChars="0"/>
        <w:rPr>
          <w:rFonts w:hint="eastAsia"/>
          <w:lang w:val="en-US" w:eastAsia="zh-CN"/>
        </w:rPr>
      </w:pPr>
      <w:r>
        <w:rPr>
          <w:rFonts w:hint="eastAsia"/>
          <w:lang w:val="en-US" w:eastAsia="zh-CN"/>
        </w:rPr>
        <w:t>质量管理BIM应用，宜在BIM平台中开展，可结合模型在BIM平台中完成各项质量管理流程的线上审批。</w:t>
      </w:r>
    </w:p>
    <w:p w14:paraId="088AF24B">
      <w:pPr>
        <w:pStyle w:val="38"/>
        <w:numPr>
          <w:ilvl w:val="0"/>
          <w:numId w:val="38"/>
        </w:numPr>
        <w:bidi w:val="0"/>
        <w:ind w:left="0" w:leftChars="0" w:firstLine="0" w:firstLineChars="0"/>
        <w:rPr>
          <w:rFonts w:hint="eastAsia"/>
          <w:lang w:val="en-US" w:eastAsia="zh-CN"/>
        </w:rPr>
      </w:pPr>
      <w:r>
        <w:rPr>
          <w:rFonts w:hint="eastAsia"/>
          <w:lang w:val="en-US" w:eastAsia="zh-CN"/>
        </w:rPr>
        <w:t>质量管理BIM应用，应在施工模型上附加或关联质量管理信息，形成质量管理模型。质量管理信息宜包括下列内容：</w:t>
      </w:r>
    </w:p>
    <w:p w14:paraId="6611E709">
      <w:pPr>
        <w:pStyle w:val="38"/>
        <w:keepNext w:val="0"/>
        <w:keepLines w:val="0"/>
        <w:pageBreakBefore w:val="0"/>
        <w:widowControl w:val="0"/>
        <w:numPr>
          <w:ilvl w:val="0"/>
          <w:numId w:val="39"/>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质量控制资料；</w:t>
      </w:r>
    </w:p>
    <w:p w14:paraId="6F312020">
      <w:pPr>
        <w:pStyle w:val="38"/>
        <w:keepNext w:val="0"/>
        <w:keepLines w:val="0"/>
        <w:pageBreakBefore w:val="0"/>
        <w:widowControl w:val="0"/>
        <w:numPr>
          <w:ilvl w:val="0"/>
          <w:numId w:val="39"/>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功能检验资料；</w:t>
      </w:r>
    </w:p>
    <w:p w14:paraId="471A8EC9">
      <w:pPr>
        <w:pStyle w:val="38"/>
        <w:keepNext w:val="0"/>
        <w:keepLines w:val="0"/>
        <w:pageBreakBefore w:val="0"/>
        <w:widowControl w:val="0"/>
        <w:numPr>
          <w:ilvl w:val="0"/>
          <w:numId w:val="39"/>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质量检查记录。</w:t>
      </w:r>
    </w:p>
    <w:p w14:paraId="56F43116">
      <w:pPr>
        <w:pStyle w:val="38"/>
        <w:numPr>
          <w:ilvl w:val="0"/>
          <w:numId w:val="38"/>
        </w:numPr>
        <w:bidi w:val="0"/>
        <w:ind w:left="0" w:leftChars="0" w:firstLine="0" w:firstLineChars="0"/>
        <w:rPr>
          <w:rFonts w:hint="eastAsia"/>
          <w:highlight w:val="none"/>
          <w:lang w:val="en-US" w:eastAsia="zh-CN"/>
        </w:rPr>
      </w:pPr>
      <w:r>
        <w:rPr>
          <w:rFonts w:hint="eastAsia"/>
          <w:highlight w:val="none"/>
          <w:lang w:val="en-US" w:eastAsia="zh-CN"/>
        </w:rPr>
        <w:t>质量检查BIM应用，宜利用质量管理模型确定检查内容、位置、标准等。</w:t>
      </w:r>
    </w:p>
    <w:p w14:paraId="5EE23A09">
      <w:pPr>
        <w:pStyle w:val="38"/>
        <w:numPr>
          <w:ilvl w:val="0"/>
          <w:numId w:val="38"/>
        </w:numPr>
        <w:bidi w:val="0"/>
        <w:ind w:left="0" w:leftChars="0" w:firstLine="0" w:firstLineChars="0"/>
        <w:rPr>
          <w:rFonts w:hint="eastAsia"/>
          <w:highlight w:val="none"/>
          <w:lang w:val="en-US" w:eastAsia="zh-CN"/>
        </w:rPr>
      </w:pPr>
      <w:r>
        <w:rPr>
          <w:rFonts w:hint="eastAsia"/>
          <w:highlight w:val="none"/>
          <w:lang w:val="en-US" w:eastAsia="zh-CN"/>
        </w:rPr>
        <w:t>质量检查时，宜将质量检查信息附加或关联到相关模型单元中。</w:t>
      </w:r>
    </w:p>
    <w:p w14:paraId="16233B0A">
      <w:pPr>
        <w:pStyle w:val="38"/>
        <w:numPr>
          <w:ilvl w:val="0"/>
          <w:numId w:val="38"/>
        </w:numPr>
        <w:bidi w:val="0"/>
        <w:ind w:left="0" w:leftChars="0" w:firstLine="0" w:firstLineChars="0"/>
        <w:rPr>
          <w:rFonts w:hint="eastAsia"/>
          <w:highlight w:val="none"/>
          <w:lang w:val="en-US" w:eastAsia="zh-CN"/>
        </w:rPr>
      </w:pPr>
      <w:r>
        <w:rPr>
          <w:rFonts w:hint="eastAsia"/>
          <w:highlight w:val="none"/>
          <w:lang w:val="en-US" w:eastAsia="zh-CN"/>
        </w:rPr>
        <w:t>质量问题分析时，宜利用质量管理模型按施工位置、专业、人员等对质量信息和问题进行汇总和展示。</w:t>
      </w:r>
    </w:p>
    <w:p w14:paraId="26956EC7">
      <w:pPr>
        <w:pStyle w:val="38"/>
        <w:numPr>
          <w:ilvl w:val="0"/>
          <w:numId w:val="38"/>
        </w:numPr>
        <w:bidi w:val="0"/>
        <w:ind w:left="0" w:leftChars="0" w:firstLine="0" w:firstLineChars="0"/>
        <w:rPr>
          <w:rFonts w:hint="eastAsia"/>
          <w:highlight w:val="none"/>
          <w:lang w:val="en-US" w:eastAsia="zh-CN"/>
        </w:rPr>
      </w:pPr>
      <w:r>
        <w:rPr>
          <w:rFonts w:hint="eastAsia"/>
          <w:highlight w:val="none"/>
          <w:lang w:val="en-US" w:eastAsia="zh-CN"/>
        </w:rPr>
        <w:t>质量问题处理时，宜将质量问题处理信息附加或关联到相关模型单元中。</w:t>
      </w:r>
    </w:p>
    <w:p w14:paraId="75F1EEBE">
      <w:pPr>
        <w:pStyle w:val="38"/>
        <w:numPr>
          <w:ilvl w:val="0"/>
          <w:numId w:val="38"/>
        </w:numPr>
        <w:bidi w:val="0"/>
        <w:ind w:left="0" w:leftChars="0" w:firstLine="0" w:firstLineChars="0"/>
        <w:rPr>
          <w:rFonts w:hint="eastAsia"/>
          <w:lang w:val="en-US" w:eastAsia="zh-CN"/>
        </w:rPr>
      </w:pPr>
      <w:bookmarkStart w:id="143" w:name="_Toc16831"/>
      <w:r>
        <w:rPr>
          <w:rFonts w:hint="eastAsia"/>
          <w:lang w:val="en-US" w:eastAsia="zh-CN"/>
        </w:rPr>
        <w:t>质量管理BIM应用成果宜包括质量管理模型、质量检查报告等。</w:t>
      </w:r>
    </w:p>
    <w:p w14:paraId="43449820">
      <w:pPr>
        <w:pStyle w:val="3"/>
        <w:bidi w:val="0"/>
        <w:rPr>
          <w:rFonts w:hint="default"/>
          <w:lang w:val="en-US" w:eastAsia="zh-CN"/>
        </w:rPr>
      </w:pPr>
      <w:bookmarkStart w:id="144" w:name="_Toc13066"/>
      <w:bookmarkStart w:id="145" w:name="_Toc18528"/>
      <w:bookmarkStart w:id="146" w:name="_Toc19983"/>
      <w:r>
        <w:rPr>
          <w:rFonts w:hint="eastAsia"/>
          <w:lang w:val="en-US" w:eastAsia="zh-CN"/>
        </w:rPr>
        <w:t>安全管理</w:t>
      </w:r>
      <w:bookmarkEnd w:id="143"/>
      <w:bookmarkEnd w:id="144"/>
      <w:bookmarkEnd w:id="145"/>
      <w:bookmarkEnd w:id="146"/>
    </w:p>
    <w:p w14:paraId="02D60670">
      <w:pPr>
        <w:pStyle w:val="38"/>
        <w:numPr>
          <w:ilvl w:val="0"/>
          <w:numId w:val="40"/>
        </w:numPr>
        <w:bidi w:val="0"/>
        <w:ind w:left="0" w:leftChars="0" w:firstLine="0" w:firstLineChars="0"/>
        <w:rPr>
          <w:rFonts w:hint="eastAsia"/>
          <w:lang w:val="en-US" w:eastAsia="zh-CN"/>
        </w:rPr>
      </w:pPr>
      <w:r>
        <w:rPr>
          <w:rFonts w:hint="eastAsia" w:ascii="Times New Roman" w:hAnsi="Times New Roman"/>
          <w:lang w:val="en-US" w:eastAsia="zh-CN"/>
        </w:rPr>
        <w:t>安全管理中的</w:t>
      </w:r>
      <w:r>
        <w:rPr>
          <w:rFonts w:hint="eastAsia"/>
          <w:lang w:val="en-US" w:eastAsia="zh-CN"/>
        </w:rPr>
        <w:t>安全</w:t>
      </w:r>
      <w:r>
        <w:rPr>
          <w:rFonts w:hint="eastAsia" w:ascii="Times New Roman" w:hAnsi="Times New Roman"/>
          <w:highlight w:val="none"/>
          <w:lang w:val="en-US" w:eastAsia="zh-CN"/>
        </w:rPr>
        <w:t>技术措施制定、</w:t>
      </w:r>
      <w:r>
        <w:rPr>
          <w:rFonts w:hint="eastAsia"/>
          <w:highlight w:val="none"/>
          <w:lang w:val="en-US" w:eastAsia="zh-CN"/>
        </w:rPr>
        <w:t>安全</w:t>
      </w:r>
      <w:r>
        <w:rPr>
          <w:rFonts w:hint="eastAsia" w:ascii="Times New Roman" w:hAnsi="Times New Roman"/>
          <w:highlight w:val="none"/>
          <w:lang w:val="en-US" w:eastAsia="zh-CN"/>
        </w:rPr>
        <w:t>实施方案策划、</w:t>
      </w:r>
      <w:r>
        <w:rPr>
          <w:rFonts w:hint="eastAsia"/>
          <w:highlight w:val="none"/>
          <w:lang w:val="en-US" w:eastAsia="zh-CN"/>
        </w:rPr>
        <w:t>安全</w:t>
      </w:r>
      <w:r>
        <w:rPr>
          <w:rFonts w:hint="eastAsia" w:ascii="Times New Roman" w:hAnsi="Times New Roman"/>
          <w:highlight w:val="none"/>
          <w:lang w:val="en-US" w:eastAsia="zh-CN"/>
        </w:rPr>
        <w:t>实施过程监管、</w:t>
      </w:r>
      <w:r>
        <w:rPr>
          <w:rFonts w:hint="eastAsia"/>
          <w:highlight w:val="none"/>
          <w:lang w:val="en-US" w:eastAsia="zh-CN"/>
        </w:rPr>
        <w:t>安全</w:t>
      </w:r>
      <w:r>
        <w:rPr>
          <w:rFonts w:hint="eastAsia" w:ascii="Times New Roman" w:hAnsi="Times New Roman"/>
          <w:highlight w:val="none"/>
          <w:lang w:val="en-US" w:eastAsia="zh-CN"/>
        </w:rPr>
        <w:t>隐患及事故处理</w:t>
      </w:r>
      <w:r>
        <w:rPr>
          <w:rFonts w:hint="eastAsia"/>
          <w:highlight w:val="none"/>
          <w:lang w:val="en-US" w:eastAsia="zh-CN"/>
        </w:rPr>
        <w:t>、安全问题分析</w:t>
      </w:r>
      <w:r>
        <w:rPr>
          <w:rFonts w:hint="eastAsia" w:ascii="Times New Roman" w:hAnsi="Times New Roman"/>
          <w:lang w:val="en-US" w:eastAsia="zh-CN"/>
        </w:rPr>
        <w:t>等宜应用BIM。</w:t>
      </w:r>
    </w:p>
    <w:p w14:paraId="7A3B4C1A">
      <w:pPr>
        <w:pStyle w:val="38"/>
        <w:numPr>
          <w:ilvl w:val="0"/>
          <w:numId w:val="40"/>
        </w:numPr>
        <w:bidi w:val="0"/>
        <w:ind w:left="0" w:leftChars="0" w:firstLine="0" w:firstLineChars="0"/>
        <w:rPr>
          <w:rFonts w:hint="eastAsia"/>
          <w:lang w:val="en-US" w:eastAsia="zh-CN"/>
        </w:rPr>
      </w:pPr>
      <w:r>
        <w:rPr>
          <w:rFonts w:hint="eastAsia"/>
          <w:lang w:val="en-US" w:eastAsia="zh-CN"/>
        </w:rPr>
        <w:t>安全管理</w:t>
      </w:r>
      <w:r>
        <w:rPr>
          <w:rFonts w:hint="eastAsia" w:ascii="Times New Roman" w:hAnsi="Times New Roman"/>
          <w:lang w:val="en-US" w:eastAsia="zh-CN"/>
        </w:rPr>
        <w:t>BIM</w:t>
      </w:r>
      <w:r>
        <w:rPr>
          <w:rFonts w:hint="eastAsia"/>
          <w:lang w:val="en-US" w:eastAsia="zh-CN"/>
        </w:rPr>
        <w:t>应用，宜基于深化设计模型开展。</w:t>
      </w:r>
    </w:p>
    <w:p w14:paraId="0B1394E1">
      <w:pPr>
        <w:pStyle w:val="38"/>
        <w:numPr>
          <w:ilvl w:val="0"/>
          <w:numId w:val="40"/>
        </w:numPr>
        <w:bidi w:val="0"/>
        <w:ind w:left="0" w:leftChars="0" w:firstLine="0" w:firstLineChars="0"/>
        <w:rPr>
          <w:rFonts w:hint="eastAsia"/>
          <w:lang w:val="en-US" w:eastAsia="zh-CN"/>
        </w:rPr>
      </w:pPr>
      <w:r>
        <w:rPr>
          <w:rFonts w:hint="eastAsia"/>
          <w:lang w:val="en-US" w:eastAsia="zh-CN"/>
        </w:rPr>
        <w:t>安全</w:t>
      </w:r>
      <w:r>
        <w:rPr>
          <w:rFonts w:hint="eastAsia" w:ascii="Times New Roman" w:hAnsi="Times New Roman"/>
          <w:lang w:val="en-US" w:eastAsia="zh-CN"/>
        </w:rPr>
        <w:t>管理</w:t>
      </w:r>
      <w:r>
        <w:rPr>
          <w:rFonts w:hint="eastAsia"/>
          <w:lang w:val="en-US" w:eastAsia="zh-CN"/>
        </w:rPr>
        <w:t>BIM应用，宜在BIM平台中开展，可结合模型在BIM平台中完成各项安全管理流程的线上审批。</w:t>
      </w:r>
    </w:p>
    <w:p w14:paraId="78A6D775">
      <w:pPr>
        <w:pStyle w:val="38"/>
        <w:numPr>
          <w:ilvl w:val="0"/>
          <w:numId w:val="40"/>
        </w:numPr>
        <w:bidi w:val="0"/>
        <w:ind w:left="0" w:leftChars="0" w:firstLine="0" w:firstLineChars="0"/>
        <w:rPr>
          <w:rFonts w:hint="eastAsia" w:ascii="Times New Roman" w:hAnsi="Times New Roman"/>
          <w:lang w:val="en-US" w:eastAsia="zh-CN"/>
        </w:rPr>
      </w:pPr>
      <w:r>
        <w:rPr>
          <w:rFonts w:hint="eastAsia" w:ascii="Times New Roman" w:hAnsi="Times New Roman"/>
          <w:lang w:val="en-US" w:eastAsia="zh-CN"/>
        </w:rPr>
        <w:t>安全管理BIM应用，应在施工模型上附加或关联</w:t>
      </w:r>
      <w:r>
        <w:rPr>
          <w:rFonts w:hint="eastAsia"/>
          <w:lang w:val="en-US" w:eastAsia="zh-CN"/>
        </w:rPr>
        <w:t>安全</w:t>
      </w:r>
      <w:r>
        <w:rPr>
          <w:rFonts w:hint="eastAsia" w:ascii="Times New Roman" w:hAnsi="Times New Roman"/>
          <w:lang w:val="en-US" w:eastAsia="zh-CN"/>
        </w:rPr>
        <w:t>管理信息，形成</w:t>
      </w:r>
      <w:r>
        <w:rPr>
          <w:rFonts w:hint="eastAsia"/>
          <w:lang w:val="en-US" w:eastAsia="zh-CN"/>
        </w:rPr>
        <w:t>安全</w:t>
      </w:r>
      <w:r>
        <w:rPr>
          <w:rFonts w:hint="eastAsia" w:ascii="Times New Roman" w:hAnsi="Times New Roman"/>
          <w:lang w:val="en-US" w:eastAsia="zh-CN"/>
        </w:rPr>
        <w:t>管理模型</w:t>
      </w:r>
      <w:r>
        <w:rPr>
          <w:rFonts w:hint="eastAsia"/>
          <w:lang w:val="en-US" w:eastAsia="zh-CN"/>
        </w:rPr>
        <w:t>。安全</w:t>
      </w:r>
      <w:r>
        <w:rPr>
          <w:rFonts w:hint="eastAsia" w:ascii="Times New Roman" w:hAnsi="Times New Roman"/>
          <w:lang w:val="en-US" w:eastAsia="zh-CN"/>
        </w:rPr>
        <w:t>管理信息宜包括下列内容：</w:t>
      </w:r>
    </w:p>
    <w:p w14:paraId="3328F348">
      <w:pPr>
        <w:pStyle w:val="38"/>
        <w:keepNext w:val="0"/>
        <w:keepLines w:val="0"/>
        <w:pageBreakBefore w:val="0"/>
        <w:widowControl w:val="0"/>
        <w:numPr>
          <w:ilvl w:val="0"/>
          <w:numId w:val="4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安全生产/防护设施；</w:t>
      </w:r>
    </w:p>
    <w:p w14:paraId="5695F5A4">
      <w:pPr>
        <w:pStyle w:val="38"/>
        <w:keepNext w:val="0"/>
        <w:keepLines w:val="0"/>
        <w:pageBreakBefore w:val="0"/>
        <w:widowControl w:val="0"/>
        <w:numPr>
          <w:ilvl w:val="0"/>
          <w:numId w:val="4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安全检查；</w:t>
      </w:r>
    </w:p>
    <w:p w14:paraId="2ACDD4B5">
      <w:pPr>
        <w:pStyle w:val="38"/>
        <w:keepNext w:val="0"/>
        <w:keepLines w:val="0"/>
        <w:pageBreakBefore w:val="0"/>
        <w:widowControl w:val="0"/>
        <w:numPr>
          <w:ilvl w:val="0"/>
          <w:numId w:val="4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风险源；</w:t>
      </w:r>
    </w:p>
    <w:p w14:paraId="5C464F58">
      <w:pPr>
        <w:pStyle w:val="38"/>
        <w:keepNext w:val="0"/>
        <w:keepLines w:val="0"/>
        <w:pageBreakBefore w:val="0"/>
        <w:widowControl w:val="0"/>
        <w:numPr>
          <w:ilvl w:val="0"/>
          <w:numId w:val="4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lang w:val="en-US" w:eastAsia="zh-CN"/>
        </w:rPr>
      </w:pPr>
      <w:r>
        <w:rPr>
          <w:rFonts w:hint="eastAsia" w:ascii="Times New Roman" w:hAnsi="Times New Roman" w:eastAsia="宋体"/>
          <w:lang w:val="en-US" w:eastAsia="zh-CN"/>
        </w:rPr>
        <w:t>事故。</w:t>
      </w:r>
    </w:p>
    <w:p w14:paraId="7E6A1A5F">
      <w:pPr>
        <w:pStyle w:val="38"/>
        <w:numPr>
          <w:ilvl w:val="0"/>
          <w:numId w:val="40"/>
        </w:numPr>
        <w:bidi w:val="0"/>
        <w:ind w:left="0" w:leftChars="0" w:firstLine="0" w:firstLineChars="0"/>
        <w:rPr>
          <w:rFonts w:hint="eastAsia"/>
          <w:i w:val="0"/>
          <w:iCs w:val="0"/>
          <w:lang w:val="en-US" w:eastAsia="zh-CN"/>
        </w:rPr>
      </w:pPr>
      <w:r>
        <w:rPr>
          <w:rFonts w:hint="eastAsia"/>
          <w:i w:val="0"/>
          <w:iCs w:val="0"/>
          <w:lang w:val="en-US" w:eastAsia="zh-CN"/>
        </w:rPr>
        <w:t>安全技术措施制定和安全实施方案策划时，宜使用安全管理模型辅助相关人员识别风险源，向有关人员进行安全技术交底，并将安全交底记录附加或关联到相关模型单元中。</w:t>
      </w:r>
    </w:p>
    <w:p w14:paraId="25E2A64C">
      <w:pPr>
        <w:pStyle w:val="38"/>
        <w:numPr>
          <w:ilvl w:val="0"/>
          <w:numId w:val="40"/>
        </w:numPr>
        <w:bidi w:val="0"/>
        <w:ind w:left="0" w:leftChars="0" w:firstLine="0" w:firstLineChars="0"/>
        <w:rPr>
          <w:rFonts w:hint="eastAsia"/>
          <w:i w:val="0"/>
          <w:iCs w:val="0"/>
          <w:highlight w:val="none"/>
          <w:lang w:val="en-US" w:eastAsia="zh-CN"/>
        </w:rPr>
      </w:pPr>
      <w:r>
        <w:rPr>
          <w:rFonts w:hint="eastAsia"/>
          <w:i w:val="0"/>
          <w:iCs w:val="0"/>
          <w:highlight w:val="none"/>
          <w:lang w:val="en-US" w:eastAsia="zh-CN"/>
        </w:rPr>
        <w:t>安全实施过程监管时，宜利用安全管理模型确定高风险作业内容及位置，并对高风险作业的开展情况进行跟踪。</w:t>
      </w:r>
    </w:p>
    <w:p w14:paraId="0A8467FC">
      <w:pPr>
        <w:pStyle w:val="38"/>
        <w:numPr>
          <w:ilvl w:val="0"/>
          <w:numId w:val="40"/>
        </w:numPr>
        <w:bidi w:val="0"/>
        <w:ind w:left="0" w:leftChars="0" w:firstLine="0" w:firstLineChars="0"/>
        <w:rPr>
          <w:rFonts w:hint="eastAsia"/>
          <w:i w:val="0"/>
          <w:iCs w:val="0"/>
          <w:lang w:val="en-US" w:eastAsia="zh-CN"/>
        </w:rPr>
      </w:pPr>
      <w:r>
        <w:rPr>
          <w:rFonts w:hint="eastAsia" w:ascii="Times New Roman" w:hAnsi="Times New Roman"/>
          <w:lang w:val="en-US" w:eastAsia="zh-CN"/>
        </w:rPr>
        <w:t>安全</w:t>
      </w:r>
      <w:r>
        <w:rPr>
          <w:rFonts w:hint="eastAsia"/>
          <w:i w:val="0"/>
          <w:iCs w:val="0"/>
          <w:lang w:val="en-US" w:eastAsia="zh-CN"/>
        </w:rPr>
        <w:t>隐患及事故处理时，宜使用安全管理模型制定相应的整改措施，并将安全隐患整改信息附加或关联到相关模型单元中；安全事故发生后，宜将事故调查报告及处理决定附加或关联到相关模型单元中。</w:t>
      </w:r>
    </w:p>
    <w:p w14:paraId="0DE3C46D">
      <w:pPr>
        <w:pStyle w:val="38"/>
        <w:numPr>
          <w:ilvl w:val="0"/>
          <w:numId w:val="40"/>
        </w:numPr>
        <w:bidi w:val="0"/>
        <w:ind w:left="0" w:leftChars="0" w:firstLine="0" w:firstLineChars="0"/>
        <w:rPr>
          <w:rFonts w:hint="eastAsia"/>
          <w:i w:val="0"/>
          <w:iCs w:val="0"/>
          <w:lang w:val="en-US" w:eastAsia="zh-CN"/>
        </w:rPr>
      </w:pPr>
      <w:r>
        <w:rPr>
          <w:rFonts w:hint="eastAsia"/>
          <w:i w:val="0"/>
          <w:iCs w:val="0"/>
          <w:lang w:val="en-US" w:eastAsia="zh-CN"/>
        </w:rPr>
        <w:t>安全问题分析时，宜利用安全管理模型按施工位置、专业、人员等对安全信息和问题进行汇总和展示。</w:t>
      </w:r>
    </w:p>
    <w:p w14:paraId="39CFC4E4">
      <w:pPr>
        <w:pStyle w:val="38"/>
        <w:numPr>
          <w:ilvl w:val="0"/>
          <w:numId w:val="40"/>
        </w:numPr>
        <w:bidi w:val="0"/>
        <w:ind w:left="0" w:leftChars="0" w:firstLine="0" w:firstLineChars="0"/>
        <w:rPr>
          <w:rFonts w:hint="eastAsia" w:ascii="Times New Roman" w:hAnsi="Times New Roman"/>
          <w:lang w:val="en-US" w:eastAsia="zh-CN"/>
        </w:rPr>
      </w:pPr>
      <w:r>
        <w:rPr>
          <w:rFonts w:hint="eastAsia" w:ascii="Times New Roman" w:hAnsi="Times New Roman"/>
          <w:lang w:val="en-US" w:eastAsia="zh-CN"/>
        </w:rPr>
        <w:t>安全管理BIM应用成果宜包括</w:t>
      </w:r>
      <w:r>
        <w:rPr>
          <w:rFonts w:hint="eastAsia"/>
          <w:lang w:val="en-US" w:eastAsia="zh-CN"/>
        </w:rPr>
        <w:t>安全管理模型及相关报告。</w:t>
      </w:r>
    </w:p>
    <w:p w14:paraId="4EE0E523"/>
    <w:p w14:paraId="7767756D">
      <w:r>
        <w:br w:type="page"/>
      </w:r>
    </w:p>
    <w:p w14:paraId="14D13C76">
      <w:pPr>
        <w:pStyle w:val="2"/>
        <w:bidi w:val="0"/>
        <w:rPr>
          <w:rFonts w:hint="default"/>
          <w:lang w:val="en-US" w:eastAsia="zh-CN"/>
        </w:rPr>
      </w:pPr>
      <w:bookmarkStart w:id="147" w:name="_Toc4060"/>
      <w:bookmarkStart w:id="148" w:name="_Toc20581"/>
      <w:bookmarkStart w:id="149" w:name="_Toc9674"/>
      <w:bookmarkStart w:id="150" w:name="_Toc7640"/>
      <w:r>
        <w:rPr>
          <w:rFonts w:hint="eastAsia"/>
          <w:lang w:val="en-US" w:eastAsia="zh-CN"/>
        </w:rPr>
        <w:t>竣工交付</w:t>
      </w:r>
      <w:bookmarkEnd w:id="147"/>
      <w:bookmarkEnd w:id="148"/>
      <w:bookmarkEnd w:id="149"/>
      <w:bookmarkEnd w:id="150"/>
    </w:p>
    <w:p w14:paraId="38D89C70">
      <w:pPr>
        <w:pStyle w:val="3"/>
        <w:bidi w:val="0"/>
        <w:rPr>
          <w:rFonts w:hint="default"/>
          <w:lang w:val="en-US" w:eastAsia="zh-CN"/>
        </w:rPr>
      </w:pPr>
      <w:bookmarkStart w:id="151" w:name="_Toc11096"/>
      <w:bookmarkStart w:id="152" w:name="_Toc29142"/>
      <w:bookmarkStart w:id="153" w:name="_Toc27206"/>
      <w:bookmarkStart w:id="154" w:name="_Toc12260"/>
      <w:r>
        <w:rPr>
          <w:rFonts w:hint="eastAsia"/>
          <w:lang w:val="en-US" w:eastAsia="zh-CN"/>
        </w:rPr>
        <w:t>一般规定</w:t>
      </w:r>
      <w:bookmarkEnd w:id="151"/>
      <w:bookmarkEnd w:id="152"/>
      <w:bookmarkEnd w:id="153"/>
      <w:bookmarkEnd w:id="154"/>
    </w:p>
    <w:p w14:paraId="453FEC1F">
      <w:pPr>
        <w:pStyle w:val="38"/>
        <w:numPr>
          <w:ilvl w:val="0"/>
          <w:numId w:val="42"/>
        </w:numPr>
        <w:bidi w:val="0"/>
        <w:ind w:left="0" w:leftChars="0" w:firstLine="0" w:firstLineChars="0"/>
        <w:rPr>
          <w:rFonts w:hint="eastAsia"/>
          <w:i w:val="0"/>
          <w:iCs w:val="0"/>
          <w:lang w:val="en-US" w:eastAsia="zh-CN"/>
        </w:rPr>
      </w:pPr>
      <w:r>
        <w:rPr>
          <w:rFonts w:hint="eastAsia"/>
          <w:i w:val="0"/>
          <w:iCs w:val="0"/>
          <w:lang w:val="en-US" w:eastAsia="zh-CN"/>
        </w:rPr>
        <w:t>竣工交付阶段BIM交付内容应包括竣工交付模型和竣工交付文档。</w:t>
      </w:r>
    </w:p>
    <w:p w14:paraId="4EE797E6">
      <w:pPr>
        <w:pStyle w:val="38"/>
        <w:numPr>
          <w:ilvl w:val="0"/>
          <w:numId w:val="42"/>
        </w:numPr>
        <w:bidi w:val="0"/>
        <w:ind w:left="0" w:leftChars="0" w:firstLine="0" w:firstLineChars="0"/>
        <w:rPr>
          <w:rFonts w:hint="eastAsia"/>
          <w:i w:val="0"/>
          <w:iCs w:val="0"/>
          <w:lang w:val="en-US" w:eastAsia="zh-CN"/>
        </w:rPr>
      </w:pPr>
      <w:r>
        <w:rPr>
          <w:rFonts w:hint="eastAsia"/>
          <w:i w:val="0"/>
          <w:iCs w:val="0"/>
          <w:lang w:val="en-US" w:eastAsia="zh-CN"/>
        </w:rPr>
        <w:t>竣工交付BIM应用宜制定交付策略，</w:t>
      </w:r>
      <w:r>
        <w:rPr>
          <w:rFonts w:hint="eastAsia"/>
          <w:i w:val="0"/>
          <w:iCs w:val="0"/>
          <w:highlight w:val="none"/>
          <w:lang w:val="en-US" w:eastAsia="zh-CN"/>
        </w:rPr>
        <w:t>明确交付范围、组织方式和交付形式</w:t>
      </w:r>
      <w:r>
        <w:rPr>
          <w:rFonts w:hint="eastAsia"/>
          <w:i w:val="0"/>
          <w:iCs w:val="0"/>
          <w:lang w:val="en-US" w:eastAsia="zh-CN"/>
        </w:rPr>
        <w:t>等。</w:t>
      </w:r>
    </w:p>
    <w:p w14:paraId="0E3D52D9">
      <w:pPr>
        <w:pStyle w:val="38"/>
        <w:numPr>
          <w:ilvl w:val="0"/>
          <w:numId w:val="42"/>
        </w:numPr>
        <w:bidi w:val="0"/>
        <w:ind w:left="0" w:leftChars="0" w:firstLine="0" w:firstLineChars="0"/>
        <w:rPr>
          <w:rFonts w:hint="default"/>
          <w:i w:val="0"/>
          <w:iCs w:val="0"/>
          <w:highlight w:val="none"/>
          <w:lang w:val="en-US" w:eastAsia="zh-CN"/>
        </w:rPr>
      </w:pPr>
      <w:r>
        <w:rPr>
          <w:rFonts w:hint="eastAsia"/>
          <w:i w:val="0"/>
          <w:iCs w:val="0"/>
          <w:highlight w:val="none"/>
          <w:lang w:val="en-US" w:eastAsia="zh-CN"/>
        </w:rPr>
        <w:t>竣工交付阶段BIM交付内容应满足完整性、一致性和准确性的要求。</w:t>
      </w:r>
    </w:p>
    <w:p w14:paraId="1197E118">
      <w:pPr>
        <w:pStyle w:val="38"/>
        <w:numPr>
          <w:ilvl w:val="0"/>
          <w:numId w:val="42"/>
        </w:numPr>
        <w:bidi w:val="0"/>
        <w:ind w:left="0" w:leftChars="0" w:firstLine="0" w:firstLineChars="0"/>
        <w:rPr>
          <w:rFonts w:hint="eastAsia"/>
          <w:i w:val="0"/>
          <w:iCs w:val="0"/>
          <w:lang w:val="en-US" w:eastAsia="zh-CN"/>
        </w:rPr>
      </w:pPr>
      <w:r>
        <w:rPr>
          <w:rFonts w:hint="eastAsia"/>
          <w:i w:val="0"/>
          <w:iCs w:val="0"/>
          <w:lang w:val="en-US" w:eastAsia="zh-CN"/>
        </w:rPr>
        <w:t>宜使用BIM平台开展竣工交付BIM应用。</w:t>
      </w:r>
    </w:p>
    <w:p w14:paraId="012D7425">
      <w:pPr>
        <w:pStyle w:val="3"/>
        <w:bidi w:val="0"/>
        <w:rPr>
          <w:rFonts w:hint="default"/>
          <w:lang w:val="en-US" w:eastAsia="zh-CN"/>
        </w:rPr>
      </w:pPr>
      <w:bookmarkStart w:id="155" w:name="_Toc6229"/>
      <w:bookmarkStart w:id="156" w:name="_Toc29609"/>
      <w:bookmarkStart w:id="157" w:name="_Toc2658"/>
      <w:bookmarkStart w:id="158" w:name="_Toc6395"/>
      <w:r>
        <w:rPr>
          <w:rFonts w:hint="eastAsia"/>
          <w:lang w:val="en-US" w:eastAsia="zh-CN"/>
        </w:rPr>
        <w:t>竣工交付模型</w:t>
      </w:r>
      <w:bookmarkEnd w:id="155"/>
      <w:bookmarkEnd w:id="156"/>
      <w:bookmarkEnd w:id="157"/>
      <w:bookmarkEnd w:id="158"/>
    </w:p>
    <w:p w14:paraId="7347252E">
      <w:pPr>
        <w:pStyle w:val="38"/>
        <w:numPr>
          <w:ilvl w:val="0"/>
          <w:numId w:val="43"/>
        </w:numPr>
        <w:bidi w:val="0"/>
        <w:ind w:left="0" w:leftChars="0" w:firstLine="0" w:firstLineChars="0"/>
        <w:rPr>
          <w:rFonts w:hint="eastAsia"/>
          <w:i w:val="0"/>
          <w:iCs w:val="0"/>
          <w:highlight w:val="none"/>
          <w:lang w:val="en-US" w:eastAsia="zh-CN"/>
        </w:rPr>
      </w:pPr>
      <w:r>
        <w:rPr>
          <w:rFonts w:hint="eastAsia"/>
          <w:i w:val="0"/>
          <w:iCs w:val="0"/>
          <w:highlight w:val="none"/>
          <w:lang w:val="en-US" w:eastAsia="zh-CN"/>
        </w:rPr>
        <w:t>竣工交付模型应在施工过程模型上附加或关联竣工交付相关信息和资料，并与工程项目交付实体一致。</w:t>
      </w:r>
    </w:p>
    <w:p w14:paraId="4F7B64E6">
      <w:pPr>
        <w:pStyle w:val="38"/>
        <w:numPr>
          <w:ilvl w:val="0"/>
          <w:numId w:val="43"/>
        </w:numPr>
        <w:bidi w:val="0"/>
        <w:ind w:left="0" w:leftChars="0" w:firstLine="0" w:firstLineChars="0"/>
        <w:rPr>
          <w:rFonts w:hint="eastAsia"/>
          <w:i w:val="0"/>
          <w:iCs w:val="0"/>
          <w:highlight w:val="none"/>
          <w:lang w:val="en-US" w:eastAsia="zh-CN"/>
        </w:rPr>
      </w:pPr>
      <w:r>
        <w:rPr>
          <w:rFonts w:hint="eastAsia"/>
          <w:i w:val="0"/>
          <w:iCs w:val="0"/>
          <w:highlight w:val="none"/>
          <w:lang w:val="en-US" w:eastAsia="zh-CN"/>
        </w:rPr>
        <w:t>竣工交付模型应按照接收方的要求对模型进行轻量化处理，并符合下列规定：</w:t>
      </w:r>
    </w:p>
    <w:p w14:paraId="53FD62A1">
      <w:pPr>
        <w:pStyle w:val="38"/>
        <w:keepNext w:val="0"/>
        <w:keepLines w:val="0"/>
        <w:pageBreakBefore w:val="0"/>
        <w:widowControl w:val="0"/>
        <w:numPr>
          <w:ilvl w:val="0"/>
          <w:numId w:val="44"/>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highlight w:val="none"/>
          <w:lang w:val="en-US" w:eastAsia="zh-CN"/>
        </w:rPr>
      </w:pPr>
      <w:r>
        <w:rPr>
          <w:rFonts w:hint="eastAsia" w:ascii="Times New Roman" w:hAnsi="Times New Roman" w:eastAsia="宋体"/>
          <w:highlight w:val="none"/>
          <w:lang w:val="en-US" w:eastAsia="zh-CN"/>
        </w:rPr>
        <w:t>当接收方为建设单位时，应按照</w:t>
      </w:r>
      <w:r>
        <w:rPr>
          <w:rFonts w:hint="eastAsia"/>
          <w:highlight w:val="none"/>
          <w:lang w:val="en-US" w:eastAsia="zh-CN"/>
        </w:rPr>
        <w:t>合同约定</w:t>
      </w:r>
      <w:r>
        <w:rPr>
          <w:rFonts w:hint="eastAsia" w:ascii="Times New Roman" w:hAnsi="Times New Roman" w:eastAsia="宋体"/>
          <w:highlight w:val="none"/>
          <w:lang w:val="en-US" w:eastAsia="zh-CN"/>
        </w:rPr>
        <w:t>完成竣工交付。</w:t>
      </w:r>
    </w:p>
    <w:p w14:paraId="14C0800A">
      <w:pPr>
        <w:pStyle w:val="38"/>
        <w:keepNext w:val="0"/>
        <w:keepLines w:val="0"/>
        <w:pageBreakBefore w:val="0"/>
        <w:widowControl w:val="0"/>
        <w:numPr>
          <w:ilvl w:val="0"/>
          <w:numId w:val="44"/>
        </w:numPr>
        <w:kinsoku/>
        <w:wordWrap/>
        <w:overflowPunct/>
        <w:topLinePunct w:val="0"/>
        <w:autoSpaceDE/>
        <w:autoSpaceDN/>
        <w:bidi w:val="0"/>
        <w:adjustRightInd/>
        <w:snapToGrid/>
        <w:ind w:left="0" w:leftChars="0" w:firstLine="480" w:firstLineChars="200"/>
        <w:textAlignment w:val="auto"/>
        <w:rPr>
          <w:highlight w:val="none"/>
        </w:rPr>
      </w:pPr>
      <w:r>
        <w:rPr>
          <w:rFonts w:hint="eastAsia" w:ascii="Times New Roman" w:hAnsi="Times New Roman" w:eastAsia="宋体"/>
          <w:highlight w:val="none"/>
          <w:lang w:val="en-US" w:eastAsia="zh-CN"/>
        </w:rPr>
        <w:t>当</w:t>
      </w:r>
      <w:r>
        <w:rPr>
          <w:rFonts w:hint="eastAsia"/>
          <w:highlight w:val="none"/>
          <w:lang w:val="en-US" w:eastAsia="zh-CN"/>
        </w:rPr>
        <w:t>接收方为施工单位时，</w:t>
      </w:r>
      <w:r>
        <w:rPr>
          <w:rFonts w:hint="eastAsia" w:ascii="Times New Roman" w:hAnsi="Times New Roman" w:eastAsia="宋体"/>
          <w:highlight w:val="none"/>
          <w:lang w:val="en-US" w:eastAsia="zh-CN"/>
        </w:rPr>
        <w:t>竣工</w:t>
      </w:r>
      <w:r>
        <w:rPr>
          <w:rFonts w:hint="eastAsia"/>
          <w:highlight w:val="none"/>
          <w:lang w:val="en-US" w:eastAsia="zh-CN"/>
        </w:rPr>
        <w:t>交付</w:t>
      </w:r>
      <w:r>
        <w:rPr>
          <w:rFonts w:hint="eastAsia" w:ascii="Times New Roman" w:hAnsi="Times New Roman" w:eastAsia="宋体"/>
          <w:highlight w:val="none"/>
          <w:lang w:val="en-US" w:eastAsia="zh-CN"/>
        </w:rPr>
        <w:t>模型应符合</w:t>
      </w:r>
      <w:r>
        <w:rPr>
          <w:rFonts w:hint="eastAsia"/>
          <w:highlight w:val="none"/>
          <w:lang w:val="en-US" w:eastAsia="zh-CN"/>
        </w:rPr>
        <w:t>施工单位</w:t>
      </w:r>
      <w:r>
        <w:rPr>
          <w:rFonts w:hint="eastAsia" w:ascii="Times New Roman" w:hAnsi="Times New Roman" w:eastAsia="宋体"/>
          <w:highlight w:val="none"/>
          <w:lang w:val="en-US" w:eastAsia="zh-CN"/>
        </w:rPr>
        <w:t>BIM管理规章制度</w:t>
      </w:r>
      <w:r>
        <w:rPr>
          <w:rFonts w:hint="eastAsia"/>
          <w:highlight w:val="none"/>
          <w:lang w:val="en-US" w:eastAsia="zh-CN"/>
        </w:rPr>
        <w:t>和标准</w:t>
      </w:r>
      <w:r>
        <w:rPr>
          <w:rFonts w:hint="eastAsia" w:ascii="Times New Roman" w:hAnsi="Times New Roman" w:eastAsia="宋体"/>
          <w:highlight w:val="none"/>
          <w:lang w:val="en-US" w:eastAsia="zh-CN"/>
        </w:rPr>
        <w:t>要求，经</w:t>
      </w:r>
      <w:r>
        <w:rPr>
          <w:rFonts w:hint="eastAsia"/>
          <w:highlight w:val="none"/>
          <w:lang w:val="en-US" w:eastAsia="zh-CN"/>
        </w:rPr>
        <w:t>施工单位</w:t>
      </w:r>
      <w:r>
        <w:rPr>
          <w:rFonts w:hint="eastAsia" w:ascii="Times New Roman" w:hAnsi="Times New Roman" w:eastAsia="宋体"/>
          <w:highlight w:val="none"/>
          <w:lang w:val="en-US" w:eastAsia="zh-CN"/>
        </w:rPr>
        <w:t>BIM管理部门审核后</w:t>
      </w:r>
      <w:r>
        <w:rPr>
          <w:rFonts w:hint="eastAsia"/>
          <w:highlight w:val="none"/>
          <w:lang w:val="en-US" w:eastAsia="zh-CN"/>
        </w:rPr>
        <w:t>存档</w:t>
      </w:r>
      <w:r>
        <w:rPr>
          <w:rFonts w:hint="eastAsia" w:ascii="Times New Roman" w:hAnsi="Times New Roman" w:eastAsia="宋体"/>
          <w:highlight w:val="none"/>
          <w:lang w:val="en-US" w:eastAsia="zh-CN"/>
        </w:rPr>
        <w:t>。</w:t>
      </w:r>
    </w:p>
    <w:p w14:paraId="01B05E8E">
      <w:pPr>
        <w:pStyle w:val="38"/>
        <w:numPr>
          <w:ilvl w:val="0"/>
          <w:numId w:val="43"/>
        </w:numPr>
        <w:bidi w:val="0"/>
        <w:ind w:left="0" w:leftChars="0" w:firstLine="0" w:firstLineChars="0"/>
        <w:rPr>
          <w:rFonts w:hint="eastAsia"/>
          <w:i w:val="0"/>
          <w:iCs w:val="0"/>
          <w:highlight w:val="none"/>
          <w:lang w:val="en-US" w:eastAsia="zh-CN"/>
        </w:rPr>
      </w:pPr>
      <w:bookmarkStart w:id="159" w:name="_Toc23299"/>
      <w:r>
        <w:rPr>
          <w:rFonts w:hint="eastAsia"/>
          <w:i w:val="0"/>
          <w:iCs w:val="0"/>
          <w:highlight w:val="none"/>
          <w:lang w:val="en-US" w:eastAsia="zh-CN"/>
        </w:rPr>
        <w:t>竣工交付模型不应包含临时信息、测试信息以及与交付无关的信息。</w:t>
      </w:r>
    </w:p>
    <w:p w14:paraId="5BE77994">
      <w:pPr>
        <w:pStyle w:val="3"/>
        <w:bidi w:val="0"/>
        <w:rPr>
          <w:rFonts w:hint="default"/>
          <w:lang w:val="en-US" w:eastAsia="zh-CN"/>
        </w:rPr>
      </w:pPr>
      <w:bookmarkStart w:id="160" w:name="_Toc31796"/>
      <w:bookmarkStart w:id="161" w:name="_Toc4947"/>
      <w:bookmarkStart w:id="162" w:name="_Toc25945"/>
      <w:r>
        <w:rPr>
          <w:rFonts w:hint="eastAsia"/>
          <w:lang w:val="en-US" w:eastAsia="zh-CN"/>
        </w:rPr>
        <w:t>竣工交付</w:t>
      </w:r>
      <w:bookmarkEnd w:id="159"/>
      <w:r>
        <w:rPr>
          <w:rFonts w:hint="eastAsia"/>
          <w:lang w:val="en-US" w:eastAsia="zh-CN"/>
        </w:rPr>
        <w:t>文档</w:t>
      </w:r>
      <w:bookmarkEnd w:id="160"/>
      <w:bookmarkEnd w:id="161"/>
      <w:bookmarkEnd w:id="162"/>
    </w:p>
    <w:p w14:paraId="5CC7DBA2">
      <w:pPr>
        <w:pStyle w:val="38"/>
        <w:numPr>
          <w:ilvl w:val="0"/>
          <w:numId w:val="45"/>
        </w:numPr>
        <w:bidi w:val="0"/>
        <w:ind w:left="0" w:leftChars="0" w:firstLine="0" w:firstLineChars="0"/>
        <w:rPr>
          <w:rFonts w:hint="eastAsia"/>
          <w:i w:val="0"/>
          <w:iCs w:val="0"/>
          <w:lang w:val="en-US" w:eastAsia="zh-CN"/>
        </w:rPr>
      </w:pPr>
      <w:r>
        <w:rPr>
          <w:rFonts w:hint="eastAsia"/>
          <w:i w:val="0"/>
          <w:iCs w:val="0"/>
          <w:lang w:val="en-US" w:eastAsia="zh-CN"/>
        </w:rPr>
        <w:t>竣工交付文档的内容应由交付双方在合同中约定，宜涵盖深化设计、技术准备、预制加工、施工实施等阶段的文档资料。</w:t>
      </w:r>
    </w:p>
    <w:p w14:paraId="1FB32176">
      <w:pPr>
        <w:pStyle w:val="38"/>
        <w:numPr>
          <w:ilvl w:val="0"/>
          <w:numId w:val="45"/>
        </w:numPr>
        <w:bidi w:val="0"/>
        <w:ind w:left="0" w:leftChars="0" w:firstLine="0" w:firstLineChars="0"/>
        <w:rPr>
          <w:rFonts w:hint="eastAsia"/>
          <w:i w:val="0"/>
          <w:iCs w:val="0"/>
          <w:lang w:val="en-US" w:eastAsia="zh-CN"/>
        </w:rPr>
      </w:pPr>
      <w:r>
        <w:rPr>
          <w:rFonts w:hint="eastAsia"/>
          <w:i w:val="0"/>
          <w:iCs w:val="0"/>
          <w:lang w:val="en-US" w:eastAsia="zh-CN"/>
        </w:rPr>
        <w:t>竣工交付文档应符合国家和行业现行有关标准的规定。</w:t>
      </w:r>
    </w:p>
    <w:p w14:paraId="7F74E499">
      <w:pPr>
        <w:pStyle w:val="38"/>
        <w:numPr>
          <w:ilvl w:val="0"/>
          <w:numId w:val="45"/>
        </w:numPr>
        <w:bidi w:val="0"/>
        <w:ind w:left="0" w:leftChars="0" w:firstLine="0" w:firstLineChars="0"/>
        <w:rPr>
          <w:rFonts w:hint="eastAsia"/>
          <w:i w:val="0"/>
          <w:iCs w:val="0"/>
          <w:lang w:val="en-US" w:eastAsia="zh-CN"/>
        </w:rPr>
      </w:pPr>
      <w:r>
        <w:rPr>
          <w:rFonts w:hint="eastAsia"/>
          <w:i w:val="0"/>
          <w:iCs w:val="0"/>
          <w:lang w:val="en-US" w:eastAsia="zh-CN"/>
        </w:rPr>
        <w:t>竣工交付文档应附加或关联到相关模型单元中。</w:t>
      </w:r>
    </w:p>
    <w:p w14:paraId="7D8609A1">
      <w:pPr>
        <w:pStyle w:val="38"/>
        <w:bidi w:val="0"/>
      </w:pPr>
    </w:p>
    <w:p w14:paraId="67ADEEA1">
      <w:r>
        <w:br w:type="page"/>
      </w:r>
    </w:p>
    <w:p w14:paraId="3FEC591E">
      <w:pPr>
        <w:pStyle w:val="2"/>
        <w:numPr>
          <w:ilvl w:val="0"/>
          <w:numId w:val="0"/>
        </w:numPr>
        <w:bidi w:val="0"/>
        <w:ind w:left="0" w:leftChars="0" w:right="0" w:rightChars="0" w:firstLine="0" w:firstLineChars="0"/>
        <w:jc w:val="center"/>
        <w:rPr>
          <w:rFonts w:hint="default"/>
          <w:lang w:val="en-US" w:eastAsia="zh-CN"/>
        </w:rPr>
      </w:pPr>
      <w:bookmarkStart w:id="163" w:name="_Toc18818"/>
      <w:bookmarkStart w:id="164" w:name="_Toc8417"/>
      <w:bookmarkStart w:id="165" w:name="_Toc32052"/>
      <w:bookmarkStart w:id="166" w:name="_Toc5413"/>
      <w:bookmarkStart w:id="167" w:name="_Toc28144"/>
      <w:bookmarkStart w:id="168" w:name="_Toc28073"/>
      <w:r>
        <w:rPr>
          <w:rFonts w:hint="eastAsia"/>
          <w:lang w:val="en-US" w:eastAsia="zh-CN"/>
        </w:rPr>
        <w:t>附录A  模型单元几何表达精度</w:t>
      </w:r>
      <w:bookmarkEnd w:id="163"/>
      <w:bookmarkEnd w:id="164"/>
      <w:bookmarkEnd w:id="165"/>
      <w:bookmarkEnd w:id="166"/>
      <w:bookmarkEnd w:id="167"/>
      <w:bookmarkEnd w:id="168"/>
    </w:p>
    <w:p w14:paraId="26DF3CDF">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表A-1  建筑模型单元几何表达精度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32BA81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178" w:type="dxa"/>
            <w:tcBorders>
              <w:tl2br w:val="nil"/>
              <w:tr2bl w:val="nil"/>
            </w:tcBorders>
            <w:vAlign w:val="center"/>
          </w:tcPr>
          <w:p w14:paraId="5D55B8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51A334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65DFC5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1FACD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restart"/>
            <w:tcBorders>
              <w:tl2br w:val="nil"/>
              <w:tr2bl w:val="nil"/>
            </w:tcBorders>
            <w:vAlign w:val="center"/>
          </w:tcPr>
          <w:p w14:paraId="02BA1D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外墙</w:t>
            </w:r>
          </w:p>
        </w:tc>
        <w:tc>
          <w:tcPr>
            <w:tcW w:w="983" w:type="dxa"/>
            <w:tcBorders>
              <w:tl2br w:val="nil"/>
              <w:tr2bl w:val="nil"/>
            </w:tcBorders>
            <w:vAlign w:val="center"/>
          </w:tcPr>
          <w:p w14:paraId="6D786B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4E5C104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1F0A6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269F43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148FF0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40D31CE6">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宜体量化表示空间占位；</w:t>
            </w:r>
          </w:p>
          <w:p w14:paraId="34B40B2C">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宜表示核心层和外饰面材质；</w:t>
            </w:r>
          </w:p>
          <w:p w14:paraId="5B852443">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外墙定位基线宜与墙体核心层外表面重合，如有保温层，宜与保温层外表面重合。</w:t>
            </w:r>
          </w:p>
        </w:tc>
      </w:tr>
      <w:tr w14:paraId="311300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57DDEF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AD195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54634554">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构造层厚度不小于20mm时，宜按照实际厚度建模；</w:t>
            </w:r>
          </w:p>
          <w:p w14:paraId="26B9182C">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宜表示安装构件；</w:t>
            </w:r>
          </w:p>
          <w:p w14:paraId="390D59F0">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宜表示各构造层的材质；</w:t>
            </w:r>
          </w:p>
          <w:p w14:paraId="5F9B8036">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外墙定位基线应与墙体核心层外表面重合，无核心层的外墙体，定位基线应与墙体内表面重合，有保温层的外墙体定位基线应与保温层外表面重合。</w:t>
            </w:r>
          </w:p>
        </w:tc>
      </w:tr>
      <w:tr w14:paraId="57D6AC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7B7A0A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674A4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5EDB1D30">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构造层厚度不小于10mm时，宜按照实际厚度建模；</w:t>
            </w:r>
          </w:p>
          <w:p w14:paraId="22623C2D">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安装构件</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几何细度为10mm；</w:t>
            </w:r>
          </w:p>
          <w:p w14:paraId="198517AB">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宜表示各构造层的材质；</w:t>
            </w:r>
          </w:p>
          <w:p w14:paraId="114F9BC0">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外墙定位基线应与墙体核心层外表面重合，无核心层的外墙体，定位基线应与墙体内表面重合，有保温层的外墙体定位基线应与保温层外表面重合。</w:t>
            </w:r>
          </w:p>
        </w:tc>
      </w:tr>
      <w:tr w14:paraId="0A80D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restart"/>
            <w:tcBorders>
              <w:tl2br w:val="nil"/>
              <w:tr2bl w:val="nil"/>
            </w:tcBorders>
            <w:vAlign w:val="center"/>
          </w:tcPr>
          <w:p w14:paraId="771947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内墙</w:t>
            </w:r>
          </w:p>
        </w:tc>
        <w:tc>
          <w:tcPr>
            <w:tcW w:w="983" w:type="dxa"/>
            <w:tcBorders>
              <w:tl2br w:val="nil"/>
              <w:tr2bl w:val="nil"/>
            </w:tcBorders>
            <w:vAlign w:val="center"/>
          </w:tcPr>
          <w:p w14:paraId="721B47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53FDD24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6A3CEA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51A57C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EF0CE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2A04F620">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宜体量化表示空间占位；</w:t>
            </w:r>
          </w:p>
          <w:p w14:paraId="545EFD29">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宜表示核心层和外饰面材质；</w:t>
            </w:r>
          </w:p>
          <w:p w14:paraId="50B90BBB">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内墙定位基线宜与墙体核心层表面重合，如有隔音层，宜与隔音层外表面重合。</w:t>
            </w:r>
          </w:p>
        </w:tc>
      </w:tr>
      <w:tr w14:paraId="22CA2F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0157FA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9603C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54F3F641">
            <w:pPr>
              <w:keepNext w:val="0"/>
              <w:keepLines w:val="0"/>
              <w:pageBreakBefore w:val="0"/>
              <w:widowControl w:val="0"/>
              <w:numPr>
                <w:ilvl w:val="0"/>
                <w:numId w:val="5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构造层厚度不小于20mm时，宜按照实际厚度建模；</w:t>
            </w:r>
          </w:p>
          <w:p w14:paraId="5551D5E7">
            <w:pPr>
              <w:keepNext w:val="0"/>
              <w:keepLines w:val="0"/>
              <w:pageBreakBefore w:val="0"/>
              <w:widowControl w:val="0"/>
              <w:numPr>
                <w:ilvl w:val="0"/>
                <w:numId w:val="5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宜表示安装构件；</w:t>
            </w:r>
          </w:p>
          <w:p w14:paraId="6CD1BB95">
            <w:pPr>
              <w:keepNext w:val="0"/>
              <w:keepLines w:val="0"/>
              <w:pageBreakBefore w:val="0"/>
              <w:widowControl w:val="0"/>
              <w:numPr>
                <w:ilvl w:val="0"/>
                <w:numId w:val="5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宜表示各构造层的材质；</w:t>
            </w:r>
          </w:p>
          <w:p w14:paraId="02119DE4">
            <w:pPr>
              <w:keepNext w:val="0"/>
              <w:keepLines w:val="0"/>
              <w:pageBreakBefore w:val="0"/>
              <w:widowControl w:val="0"/>
              <w:numPr>
                <w:ilvl w:val="0"/>
                <w:numId w:val="5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内墙定位基线应与墙体核心层外表面重合，无核心层的外墙体，定位基线应与墙体内表面重合，有隔音的内墙体定位基线与隔音层外表面重合。</w:t>
            </w:r>
          </w:p>
        </w:tc>
      </w:tr>
      <w:tr w14:paraId="2E964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1CB74A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7B1C0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348456C9">
            <w:pPr>
              <w:keepNext w:val="0"/>
              <w:keepLines w:val="0"/>
              <w:pageBreakBefore w:val="0"/>
              <w:widowControl w:val="0"/>
              <w:numPr>
                <w:ilvl w:val="0"/>
                <w:numId w:val="5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构造层厚度不小于10mm时，宜按照实际厚度建模；</w:t>
            </w:r>
          </w:p>
          <w:p w14:paraId="0C4AF185">
            <w:pPr>
              <w:keepNext w:val="0"/>
              <w:keepLines w:val="0"/>
              <w:pageBreakBefore w:val="0"/>
              <w:widowControl w:val="0"/>
              <w:numPr>
                <w:ilvl w:val="0"/>
                <w:numId w:val="5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安装构件</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几何细度为10mm；</w:t>
            </w:r>
          </w:p>
          <w:p w14:paraId="248C3B97">
            <w:pPr>
              <w:keepNext w:val="0"/>
              <w:keepLines w:val="0"/>
              <w:pageBreakBefore w:val="0"/>
              <w:widowControl w:val="0"/>
              <w:numPr>
                <w:ilvl w:val="0"/>
                <w:numId w:val="5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宜表示各构造层的材质；</w:t>
            </w:r>
          </w:p>
          <w:p w14:paraId="5F5F3316">
            <w:pPr>
              <w:keepNext w:val="0"/>
              <w:keepLines w:val="0"/>
              <w:pageBreakBefore w:val="0"/>
              <w:widowControl w:val="0"/>
              <w:numPr>
                <w:ilvl w:val="0"/>
                <w:numId w:val="5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内墙定位基线应与墙体核心层外表面重合，无核心层的内墙体定位基线应与墙体内表面重合，有隔音层的外墙体定位基线应与隔音层外表面重合。</w:t>
            </w:r>
          </w:p>
        </w:tc>
      </w:tr>
      <w:tr w14:paraId="6EB81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restart"/>
            <w:tcBorders>
              <w:tl2br w:val="nil"/>
              <w:tr2bl w:val="nil"/>
            </w:tcBorders>
            <w:vAlign w:val="center"/>
          </w:tcPr>
          <w:p w14:paraId="371886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门窗</w:t>
            </w:r>
          </w:p>
        </w:tc>
        <w:tc>
          <w:tcPr>
            <w:tcW w:w="983" w:type="dxa"/>
            <w:tcBorders>
              <w:tl2br w:val="nil"/>
              <w:tr2bl w:val="nil"/>
            </w:tcBorders>
            <w:vAlign w:val="center"/>
          </w:tcPr>
          <w:p w14:paraId="5E58DE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5B4735D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5C75E0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78" w:type="dxa"/>
            <w:vMerge w:val="continue"/>
            <w:tcBorders>
              <w:tl2br w:val="nil"/>
              <w:tr2bl w:val="nil"/>
            </w:tcBorders>
            <w:vAlign w:val="center"/>
          </w:tcPr>
          <w:p w14:paraId="59E8AA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EDB03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71B92E1A">
            <w:pPr>
              <w:keepNext w:val="0"/>
              <w:keepLines w:val="0"/>
              <w:pageBreakBefore w:val="0"/>
              <w:widowControl w:val="0"/>
              <w:numPr>
                <w:ilvl w:val="0"/>
                <w:numId w:val="5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宜表示框材、嵌板；</w:t>
            </w:r>
          </w:p>
          <w:p w14:paraId="7FEBC8B9">
            <w:pPr>
              <w:keepNext w:val="0"/>
              <w:keepLines w:val="0"/>
              <w:pageBreakBefore w:val="0"/>
              <w:widowControl w:val="0"/>
              <w:numPr>
                <w:ilvl w:val="0"/>
                <w:numId w:val="5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门窗洞口尺寸应准确。</w:t>
            </w:r>
          </w:p>
        </w:tc>
      </w:tr>
    </w:tbl>
    <w:p w14:paraId="29DCC8DC">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续表A-1</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059FF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234AFE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07F437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0274C7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69F71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38D14E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门窗</w:t>
            </w:r>
          </w:p>
        </w:tc>
        <w:tc>
          <w:tcPr>
            <w:tcW w:w="983" w:type="dxa"/>
            <w:tcBorders>
              <w:tl2br w:val="nil"/>
              <w:tr2bl w:val="nil"/>
            </w:tcBorders>
            <w:vAlign w:val="center"/>
          </w:tcPr>
          <w:p w14:paraId="215FF0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738E7008">
            <w:pPr>
              <w:keepNext w:val="0"/>
              <w:keepLines w:val="0"/>
              <w:pageBreakBefore w:val="0"/>
              <w:widowControl w:val="0"/>
              <w:numPr>
                <w:ilvl w:val="0"/>
                <w:numId w:val="5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宜表示框材、嵌板、主要安装构件；</w:t>
            </w:r>
          </w:p>
          <w:p w14:paraId="7A5D5B0E">
            <w:pPr>
              <w:keepNext w:val="0"/>
              <w:keepLines w:val="0"/>
              <w:pageBreakBefore w:val="0"/>
              <w:widowControl w:val="0"/>
              <w:numPr>
                <w:ilvl w:val="0"/>
                <w:numId w:val="5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内嵌板的门窗应明确表示；</w:t>
            </w:r>
          </w:p>
          <w:p w14:paraId="1B5E52D7">
            <w:pPr>
              <w:keepNext w:val="0"/>
              <w:keepLines w:val="0"/>
              <w:pageBreakBefore w:val="0"/>
              <w:widowControl w:val="0"/>
              <w:numPr>
                <w:ilvl w:val="0"/>
                <w:numId w:val="5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门窗、百叶框材和断面</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几何细度应为30mm。</w:t>
            </w:r>
          </w:p>
        </w:tc>
      </w:tr>
      <w:tr w14:paraId="29806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95F9F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069D1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7FAA0861">
            <w:pPr>
              <w:keepNext w:val="0"/>
              <w:keepLines w:val="0"/>
              <w:pageBreakBefore w:val="0"/>
              <w:widowControl w:val="0"/>
              <w:numPr>
                <w:ilvl w:val="0"/>
                <w:numId w:val="5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宜表示框材、嵌板、主要安装构件、密封材料；</w:t>
            </w:r>
          </w:p>
          <w:p w14:paraId="5EAB3CE3">
            <w:pPr>
              <w:keepNext w:val="0"/>
              <w:keepLines w:val="0"/>
              <w:pageBreakBefore w:val="0"/>
              <w:widowControl w:val="0"/>
              <w:numPr>
                <w:ilvl w:val="0"/>
                <w:numId w:val="5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内嵌板的门窗应明确表示。</w:t>
            </w:r>
          </w:p>
        </w:tc>
      </w:tr>
      <w:tr w14:paraId="678786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1DF70F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屋顶</w:t>
            </w:r>
          </w:p>
        </w:tc>
        <w:tc>
          <w:tcPr>
            <w:tcW w:w="983" w:type="dxa"/>
            <w:tcBorders>
              <w:tl2br w:val="nil"/>
              <w:tr2bl w:val="nil"/>
            </w:tcBorders>
            <w:vAlign w:val="center"/>
          </w:tcPr>
          <w:p w14:paraId="587EEE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659CCB7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21C13B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8" w:type="dxa"/>
            <w:vMerge w:val="continue"/>
            <w:tcBorders>
              <w:tl2br w:val="nil"/>
              <w:tr2bl w:val="nil"/>
            </w:tcBorders>
            <w:vAlign w:val="center"/>
          </w:tcPr>
          <w:p w14:paraId="3CD1BD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9F853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62FFB54F">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宜体量化表示空间占位；</w:t>
            </w:r>
          </w:p>
          <w:p w14:paraId="4CDD5A6C">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平屋面建模可不考虑屋面坡度，且结构构造层顶面与屋面标高线宜重合；</w:t>
            </w:r>
          </w:p>
          <w:p w14:paraId="6964C259">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坡屋面与异形屋面应按设计形状和坡度建模，主要结构支座顶标高与屋面标高线宜重合。</w:t>
            </w:r>
          </w:p>
        </w:tc>
      </w:tr>
      <w:tr w14:paraId="426FE0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7E876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B7DAD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1923EECF">
            <w:pPr>
              <w:keepNext w:val="0"/>
              <w:keepLines w:val="0"/>
              <w:pageBreakBefore w:val="0"/>
              <w:widowControl w:val="0"/>
              <w:numPr>
                <w:ilvl w:val="0"/>
                <w:numId w:val="5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应输入屋面各构造层的信息，构造层厚度不小于20mm时，应按照实际厚度建模；</w:t>
            </w:r>
          </w:p>
          <w:p w14:paraId="731E94BB">
            <w:pPr>
              <w:keepNext w:val="0"/>
              <w:keepLines w:val="0"/>
              <w:pageBreakBefore w:val="0"/>
              <w:widowControl w:val="0"/>
              <w:numPr>
                <w:ilvl w:val="0"/>
                <w:numId w:val="5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楼板的核心层和其他构造层可按独立楼板类型分别建模；</w:t>
            </w:r>
          </w:p>
          <w:p w14:paraId="4F7496AD">
            <w:pPr>
              <w:keepNext w:val="0"/>
              <w:keepLines w:val="0"/>
              <w:pageBreakBefore w:val="0"/>
              <w:widowControl w:val="0"/>
              <w:numPr>
                <w:ilvl w:val="0"/>
                <w:numId w:val="5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平屋面建模宜考虑屋面坡度；</w:t>
            </w:r>
          </w:p>
          <w:p w14:paraId="07C4CA42">
            <w:pPr>
              <w:keepNext w:val="0"/>
              <w:keepLines w:val="0"/>
              <w:pageBreakBefore w:val="0"/>
              <w:widowControl w:val="0"/>
              <w:numPr>
                <w:ilvl w:val="0"/>
                <w:numId w:val="5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坡屋面与异形屋面应按设计形状和坡度建模，主要结构支座顶标高与屋面标高线宜重合；</w:t>
            </w:r>
          </w:p>
          <w:p w14:paraId="4041BF10">
            <w:pPr>
              <w:keepNext w:val="0"/>
              <w:keepLines w:val="0"/>
              <w:pageBreakBefore w:val="0"/>
              <w:widowControl w:val="0"/>
              <w:numPr>
                <w:ilvl w:val="0"/>
                <w:numId w:val="5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屋面主要构件宜建模，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几何细度为20mm。</w:t>
            </w:r>
          </w:p>
        </w:tc>
      </w:tr>
      <w:tr w14:paraId="12DEA7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1DFCD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01D93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278195B3">
            <w:pPr>
              <w:keepNext w:val="0"/>
              <w:keepLines w:val="0"/>
              <w:pageBreakBefore w:val="0"/>
              <w:widowControl w:val="0"/>
              <w:numPr>
                <w:ilvl w:val="0"/>
                <w:numId w:val="5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应输入屋面各构造层的信息，构造层厚度不小于10mm时，应按照实际厚度建模；</w:t>
            </w:r>
          </w:p>
          <w:p w14:paraId="552D4313">
            <w:pPr>
              <w:keepNext w:val="0"/>
              <w:keepLines w:val="0"/>
              <w:pageBreakBefore w:val="0"/>
              <w:widowControl w:val="0"/>
              <w:numPr>
                <w:ilvl w:val="0"/>
                <w:numId w:val="5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楼板的核心层和其他构造层可按独立楼板类型分别建模；</w:t>
            </w:r>
          </w:p>
          <w:p w14:paraId="54946BD0">
            <w:pPr>
              <w:keepNext w:val="0"/>
              <w:keepLines w:val="0"/>
              <w:pageBreakBefore w:val="0"/>
              <w:widowControl w:val="0"/>
              <w:numPr>
                <w:ilvl w:val="0"/>
                <w:numId w:val="5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平屋面建模应考虑屋面坡度；</w:t>
            </w:r>
          </w:p>
          <w:p w14:paraId="4582BF31">
            <w:pPr>
              <w:keepNext w:val="0"/>
              <w:keepLines w:val="0"/>
              <w:pageBreakBefore w:val="0"/>
              <w:widowControl w:val="0"/>
              <w:numPr>
                <w:ilvl w:val="0"/>
                <w:numId w:val="5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坡屋面与异形屋面应按设计形状和坡度建模，主要结构支座顶标高与屋面标高线宜重合；</w:t>
            </w:r>
          </w:p>
          <w:p w14:paraId="04431602">
            <w:pPr>
              <w:keepNext w:val="0"/>
              <w:keepLines w:val="0"/>
              <w:pageBreakBefore w:val="0"/>
              <w:widowControl w:val="0"/>
              <w:numPr>
                <w:ilvl w:val="0"/>
                <w:numId w:val="5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屋面其它构件宜建模，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几何细度为10mm；</w:t>
            </w:r>
          </w:p>
          <w:p w14:paraId="393D4CA8">
            <w:pPr>
              <w:keepNext w:val="0"/>
              <w:keepLines w:val="0"/>
              <w:pageBreakBefore w:val="0"/>
              <w:widowControl w:val="0"/>
              <w:numPr>
                <w:ilvl w:val="0"/>
                <w:numId w:val="5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如视觉表达需要，屋面各层构造、构件宜赋予可识别的材质信息。</w:t>
            </w:r>
          </w:p>
        </w:tc>
      </w:tr>
      <w:tr w14:paraId="1F5F86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3A4D2A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楼板</w:t>
            </w:r>
          </w:p>
        </w:tc>
        <w:tc>
          <w:tcPr>
            <w:tcW w:w="983" w:type="dxa"/>
            <w:tcBorders>
              <w:tl2br w:val="nil"/>
              <w:tr2bl w:val="nil"/>
            </w:tcBorders>
            <w:vAlign w:val="center"/>
          </w:tcPr>
          <w:p w14:paraId="4811E4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3FFEEB4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71822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73389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5C7DE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52E55236">
            <w:pPr>
              <w:keepNext w:val="0"/>
              <w:keepLines w:val="0"/>
              <w:pageBreakBefore w:val="0"/>
              <w:widowControl w:val="0"/>
              <w:numPr>
                <w:ilvl w:val="0"/>
                <w:numId w:val="5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宜体量化表示空间占位；</w:t>
            </w:r>
          </w:p>
          <w:p w14:paraId="3B769F3F">
            <w:pPr>
              <w:keepNext w:val="0"/>
              <w:keepLines w:val="0"/>
              <w:pageBreakBefore w:val="0"/>
              <w:widowControl w:val="0"/>
              <w:numPr>
                <w:ilvl w:val="0"/>
                <w:numId w:val="5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除非设计要求，无坡度楼板顶面与设计标高应重合，有坡度楼板根据设计意图建模。</w:t>
            </w:r>
          </w:p>
        </w:tc>
      </w:tr>
      <w:tr w14:paraId="6D175C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5E8FF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EF38F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773A4382">
            <w:pPr>
              <w:keepNext w:val="0"/>
              <w:keepLines w:val="0"/>
              <w:pageBreakBefore w:val="0"/>
              <w:widowControl w:val="0"/>
              <w:numPr>
                <w:ilvl w:val="0"/>
                <w:numId w:val="5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应输入楼板各构造层的信息，构造层厚度不小于20mm时，应按照实际厚度建模；</w:t>
            </w:r>
          </w:p>
          <w:p w14:paraId="21C0AD52">
            <w:pPr>
              <w:keepNext w:val="0"/>
              <w:keepLines w:val="0"/>
              <w:pageBreakBefore w:val="0"/>
              <w:widowControl w:val="0"/>
              <w:numPr>
                <w:ilvl w:val="0"/>
                <w:numId w:val="5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楼板的核心层和其他构造层可按独立楼板类型分别建模；</w:t>
            </w:r>
          </w:p>
          <w:p w14:paraId="6F3B1CA3">
            <w:pPr>
              <w:keepNext w:val="0"/>
              <w:keepLines w:val="0"/>
              <w:pageBreakBefore w:val="0"/>
              <w:widowControl w:val="0"/>
              <w:numPr>
                <w:ilvl w:val="0"/>
                <w:numId w:val="5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主要的无坡度楼板建筑完成面应与标高线重合。</w:t>
            </w:r>
          </w:p>
        </w:tc>
      </w:tr>
      <w:tr w14:paraId="1D2033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E04CF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58AC72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37A5B091">
            <w:pPr>
              <w:keepNext w:val="0"/>
              <w:keepLines w:val="0"/>
              <w:pageBreakBefore w:val="0"/>
              <w:widowControl w:val="0"/>
              <w:numPr>
                <w:ilvl w:val="0"/>
                <w:numId w:val="6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应</w:t>
            </w:r>
            <w:r>
              <w:rPr>
                <w:rFonts w:hint="default" w:ascii="Times New Roman" w:hAnsi="Times New Roman" w:eastAsia="宋体" w:cs="Times New Roman"/>
                <w:sz w:val="21"/>
                <w:szCs w:val="21"/>
                <w:highlight w:val="none"/>
                <w:lang w:val="en-US" w:eastAsia="zh-CN"/>
              </w:rPr>
              <w:t>区分建筑楼板和结构楼板；</w:t>
            </w:r>
          </w:p>
          <w:p w14:paraId="5BD7497D">
            <w:pPr>
              <w:keepNext w:val="0"/>
              <w:keepLines w:val="0"/>
              <w:pageBreakBefore w:val="0"/>
              <w:widowControl w:val="0"/>
              <w:numPr>
                <w:ilvl w:val="0"/>
                <w:numId w:val="6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应输入楼板各构造层的信息，构造层厚度不小于10mm时，应按照实际厚度建模；</w:t>
            </w:r>
          </w:p>
          <w:p w14:paraId="6FBB33A8">
            <w:pPr>
              <w:keepNext w:val="0"/>
              <w:keepLines w:val="0"/>
              <w:pageBreakBefore w:val="0"/>
              <w:widowControl w:val="0"/>
              <w:numPr>
                <w:ilvl w:val="0"/>
                <w:numId w:val="6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楼板的核心层和其他构造层可按独立楼板类型分别建模；</w:t>
            </w:r>
          </w:p>
          <w:p w14:paraId="35E519DC">
            <w:pPr>
              <w:keepNext w:val="0"/>
              <w:keepLines w:val="0"/>
              <w:pageBreakBefore w:val="0"/>
              <w:widowControl w:val="0"/>
              <w:numPr>
                <w:ilvl w:val="0"/>
                <w:numId w:val="6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无坡度楼板建筑完成面应与标高线重合。</w:t>
            </w:r>
          </w:p>
        </w:tc>
      </w:tr>
    </w:tbl>
    <w:p w14:paraId="63A84AC3"/>
    <w:p w14:paraId="644ED5A1">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续表A-1</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2"/>
        <w:gridCol w:w="1"/>
        <w:gridCol w:w="6361"/>
      </w:tblGrid>
      <w:tr w14:paraId="7B9BB6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2C17F7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gridSpan w:val="2"/>
            <w:tcBorders>
              <w:tl2br w:val="nil"/>
              <w:tr2bl w:val="nil"/>
            </w:tcBorders>
            <w:vAlign w:val="center"/>
          </w:tcPr>
          <w:p w14:paraId="69BCA1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661524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062B93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687353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楼梯</w:t>
            </w:r>
          </w:p>
        </w:tc>
        <w:tc>
          <w:tcPr>
            <w:tcW w:w="983" w:type="dxa"/>
            <w:gridSpan w:val="2"/>
            <w:tcBorders>
              <w:tl2br w:val="nil"/>
              <w:tr2bl w:val="nil"/>
            </w:tcBorders>
            <w:vAlign w:val="center"/>
          </w:tcPr>
          <w:p w14:paraId="757D07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6CE6923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001D6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4F909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gridSpan w:val="2"/>
            <w:tcBorders>
              <w:tl2br w:val="nil"/>
              <w:tr2bl w:val="nil"/>
            </w:tcBorders>
            <w:vAlign w:val="center"/>
          </w:tcPr>
          <w:p w14:paraId="331C45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2871A0BA">
            <w:pPr>
              <w:keepNext w:val="0"/>
              <w:keepLines w:val="0"/>
              <w:pageBreakBefore w:val="0"/>
              <w:widowControl w:val="0"/>
              <w:numPr>
                <w:ilvl w:val="0"/>
                <w:numId w:val="6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宜体量化表示空间占位；</w:t>
            </w:r>
          </w:p>
          <w:p w14:paraId="05740606">
            <w:pPr>
              <w:keepNext w:val="0"/>
              <w:keepLines w:val="0"/>
              <w:pageBreakBefore w:val="0"/>
              <w:widowControl w:val="0"/>
              <w:numPr>
                <w:ilvl w:val="0"/>
                <w:numId w:val="6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楼梯应建模踏步、梯段。</w:t>
            </w:r>
          </w:p>
        </w:tc>
      </w:tr>
      <w:tr w14:paraId="759CEA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135E43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gridSpan w:val="2"/>
            <w:tcBorders>
              <w:tl2br w:val="nil"/>
              <w:tr2bl w:val="nil"/>
            </w:tcBorders>
            <w:vAlign w:val="center"/>
          </w:tcPr>
          <w:p w14:paraId="55CCCC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48DF4E87">
            <w:pPr>
              <w:keepNext w:val="0"/>
              <w:keepLines w:val="0"/>
              <w:pageBreakBefore w:val="0"/>
              <w:widowControl w:val="0"/>
              <w:numPr>
                <w:ilvl w:val="0"/>
                <w:numId w:val="6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梯梁、梯柱应建模，并应输入构造层次信息，构造层厚度不小于20mm时，应按照精确厚度建模；</w:t>
            </w:r>
          </w:p>
          <w:p w14:paraId="1D547F5C">
            <w:pPr>
              <w:keepNext w:val="0"/>
              <w:keepLines w:val="0"/>
              <w:pageBreakBefore w:val="0"/>
              <w:widowControl w:val="0"/>
              <w:numPr>
                <w:ilvl w:val="0"/>
                <w:numId w:val="6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平台板可用楼板替代，但应在属性中注明</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楼梯平台板</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w:t>
            </w:r>
          </w:p>
        </w:tc>
      </w:tr>
      <w:tr w14:paraId="014D7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7E474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gridSpan w:val="2"/>
            <w:tcBorders>
              <w:tl2br w:val="nil"/>
              <w:tr2bl w:val="nil"/>
            </w:tcBorders>
            <w:vAlign w:val="center"/>
          </w:tcPr>
          <w:p w14:paraId="62123B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2F23601C">
            <w:pPr>
              <w:keepNext w:val="0"/>
              <w:keepLines w:val="0"/>
              <w:pageBreakBefore w:val="0"/>
              <w:widowControl w:val="0"/>
              <w:numPr>
                <w:ilvl w:val="0"/>
                <w:numId w:val="6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梯梁、梯柱应建模，并应输入构造层次信息，构造层厚度不小于10mm时，应按照实际厚度建模；</w:t>
            </w:r>
          </w:p>
          <w:p w14:paraId="1827C24F">
            <w:pPr>
              <w:keepNext w:val="0"/>
              <w:keepLines w:val="0"/>
              <w:pageBreakBefore w:val="0"/>
              <w:widowControl w:val="0"/>
              <w:numPr>
                <w:ilvl w:val="0"/>
                <w:numId w:val="6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平台板可用楼板替代，但应在属性中注明</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楼梯平台板</w:t>
            </w:r>
            <w:r>
              <w:rPr>
                <w:rFonts w:hint="eastAsia"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w:t>
            </w:r>
          </w:p>
        </w:tc>
      </w:tr>
      <w:tr w14:paraId="37304F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7C6F0F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栏杆</w:t>
            </w:r>
          </w:p>
        </w:tc>
        <w:tc>
          <w:tcPr>
            <w:tcW w:w="983" w:type="dxa"/>
            <w:gridSpan w:val="2"/>
            <w:tcBorders>
              <w:tl2br w:val="nil"/>
              <w:tr2bl w:val="nil"/>
            </w:tcBorders>
            <w:vAlign w:val="center"/>
          </w:tcPr>
          <w:p w14:paraId="081F27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55ABAD4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263B79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D2196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gridSpan w:val="2"/>
            <w:tcBorders>
              <w:tl2br w:val="nil"/>
              <w:tr2bl w:val="nil"/>
            </w:tcBorders>
            <w:vAlign w:val="center"/>
          </w:tcPr>
          <w:p w14:paraId="73789E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39D352C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宜体量化表示空间占位，</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几何细度为10mm。</w:t>
            </w:r>
          </w:p>
        </w:tc>
      </w:tr>
      <w:tr w14:paraId="2AB469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32616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2" w:type="dxa"/>
            <w:tcBorders>
              <w:tl2br w:val="nil"/>
              <w:tr2bl w:val="nil"/>
            </w:tcBorders>
            <w:vAlign w:val="center"/>
          </w:tcPr>
          <w:p w14:paraId="13F8F2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2" w:type="dxa"/>
            <w:gridSpan w:val="2"/>
            <w:tcBorders>
              <w:tl2br w:val="nil"/>
              <w:tr2bl w:val="nil"/>
            </w:tcBorders>
            <w:vAlign w:val="center"/>
          </w:tcPr>
          <w:p w14:paraId="6E22565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几何细度宜为5mm。</w:t>
            </w:r>
          </w:p>
        </w:tc>
      </w:tr>
      <w:tr w14:paraId="540F15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86D54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2" w:type="dxa"/>
            <w:tcBorders>
              <w:tl2br w:val="nil"/>
              <w:tr2bl w:val="nil"/>
            </w:tcBorders>
            <w:vAlign w:val="center"/>
          </w:tcPr>
          <w:p w14:paraId="08486A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2" w:type="dxa"/>
            <w:gridSpan w:val="2"/>
            <w:tcBorders>
              <w:tl2br w:val="nil"/>
              <w:tr2bl w:val="nil"/>
            </w:tcBorders>
            <w:vAlign w:val="center"/>
          </w:tcPr>
          <w:p w14:paraId="7D1A9C5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应建模，按照实际尺寸建模。</w:t>
            </w:r>
          </w:p>
        </w:tc>
      </w:tr>
      <w:tr w14:paraId="67FC4C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6E87B7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孔洞、预埋件</w:t>
            </w:r>
          </w:p>
        </w:tc>
        <w:tc>
          <w:tcPr>
            <w:tcW w:w="982" w:type="dxa"/>
            <w:tcBorders>
              <w:tl2br w:val="nil"/>
              <w:tr2bl w:val="nil"/>
            </w:tcBorders>
            <w:vAlign w:val="center"/>
          </w:tcPr>
          <w:p w14:paraId="06352B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2" w:type="dxa"/>
            <w:gridSpan w:val="2"/>
            <w:tcBorders>
              <w:tl2br w:val="nil"/>
              <w:tr2bl w:val="nil"/>
            </w:tcBorders>
            <w:vAlign w:val="center"/>
          </w:tcPr>
          <w:p w14:paraId="2A9644A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2B65E9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5ECBC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2" w:type="dxa"/>
            <w:tcBorders>
              <w:tl2br w:val="nil"/>
              <w:tr2bl w:val="nil"/>
            </w:tcBorders>
            <w:vAlign w:val="center"/>
          </w:tcPr>
          <w:p w14:paraId="4025C7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2" w:type="dxa"/>
            <w:gridSpan w:val="2"/>
            <w:tcBorders>
              <w:tl2br w:val="nil"/>
              <w:tr2bl w:val="nil"/>
            </w:tcBorders>
            <w:vAlign w:val="center"/>
          </w:tcPr>
          <w:p w14:paraId="2580950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应建模，反应出孔洞、预埋件的大致位置。</w:t>
            </w:r>
          </w:p>
        </w:tc>
      </w:tr>
      <w:tr w14:paraId="1DF4F8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48D01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2" w:type="dxa"/>
            <w:tcBorders>
              <w:tl2br w:val="nil"/>
              <w:tr2bl w:val="nil"/>
            </w:tcBorders>
            <w:vAlign w:val="center"/>
          </w:tcPr>
          <w:p w14:paraId="40744A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2" w:type="dxa"/>
            <w:gridSpan w:val="2"/>
            <w:tcBorders>
              <w:tl2br w:val="nil"/>
              <w:tr2bl w:val="nil"/>
            </w:tcBorders>
            <w:vAlign w:val="center"/>
          </w:tcPr>
          <w:p w14:paraId="6B07BC1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应建模，反应出孔洞、预埋件的大致位置，</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几何细度宜为5mm。</w:t>
            </w:r>
          </w:p>
        </w:tc>
      </w:tr>
      <w:tr w14:paraId="160E89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24247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2" w:type="dxa"/>
            <w:tcBorders>
              <w:tl2br w:val="nil"/>
              <w:tr2bl w:val="nil"/>
            </w:tcBorders>
            <w:vAlign w:val="center"/>
          </w:tcPr>
          <w:p w14:paraId="4925A1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2" w:type="dxa"/>
            <w:gridSpan w:val="2"/>
            <w:tcBorders>
              <w:tl2br w:val="nil"/>
              <w:tr2bl w:val="nil"/>
            </w:tcBorders>
            <w:vAlign w:val="center"/>
          </w:tcPr>
          <w:p w14:paraId="0A8742D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应建模，反应出孔洞、预埋件的精确位置，按照实际尺寸建模。</w:t>
            </w:r>
          </w:p>
        </w:tc>
      </w:tr>
    </w:tbl>
    <w:p w14:paraId="21AB8652">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 xml:space="preserve">表A-2  </w:t>
      </w:r>
      <w:r>
        <w:rPr>
          <w:rFonts w:hint="default"/>
          <w:b/>
          <w:bCs/>
          <w:sz w:val="21"/>
          <w:szCs w:val="21"/>
          <w:lang w:val="en-US" w:eastAsia="zh-CN"/>
        </w:rPr>
        <w:t>结构模型单元几何表达精度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2723A5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072737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275EE2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0F6AAA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10277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104FD3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基础</w:t>
            </w:r>
          </w:p>
        </w:tc>
        <w:tc>
          <w:tcPr>
            <w:tcW w:w="983" w:type="dxa"/>
            <w:tcBorders>
              <w:tl2br w:val="nil"/>
              <w:tr2bl w:val="nil"/>
            </w:tcBorders>
            <w:vAlign w:val="center"/>
          </w:tcPr>
          <w:p w14:paraId="05BD91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4EFFB11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56AFA9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B036C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AF3B6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34E6280B">
            <w:pPr>
              <w:keepNext w:val="0"/>
              <w:keepLines w:val="0"/>
              <w:pageBreakBefore w:val="0"/>
              <w:widowControl w:val="0"/>
              <w:numPr>
                <w:ilvl w:val="0"/>
                <w:numId w:val="6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宜表示空间占位、位置和方向；</w:t>
            </w:r>
          </w:p>
          <w:p w14:paraId="3D975F41">
            <w:pPr>
              <w:keepNext w:val="0"/>
              <w:keepLines w:val="0"/>
              <w:pageBreakBefore w:val="0"/>
              <w:widowControl w:val="0"/>
              <w:numPr>
                <w:ilvl w:val="0"/>
                <w:numId w:val="6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w:t>
            </w:r>
            <w:r>
              <w:rPr>
                <w:rFonts w:hint="eastAsia" w:ascii="Times New Roman" w:hAnsi="Times New Roman"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eastAsia="zh-CN"/>
              </w:rPr>
              <w:t>0m</w:t>
            </w:r>
            <w:r>
              <w:rPr>
                <w:rFonts w:hint="eastAsia" w:ascii="Times New Roman" w:hAnsi="Times New Roman" w:eastAsia="宋体" w:cs="Times New Roman"/>
                <w:sz w:val="21"/>
                <w:szCs w:val="21"/>
                <w:highlight w:val="none"/>
                <w:lang w:val="en-US" w:eastAsia="zh-CN"/>
              </w:rPr>
              <w:t>m</w:t>
            </w:r>
            <w:r>
              <w:rPr>
                <w:rFonts w:hint="default" w:ascii="Times New Roman" w:hAnsi="Times New Roman" w:eastAsia="宋体" w:cs="Times New Roman"/>
                <w:sz w:val="21"/>
                <w:szCs w:val="21"/>
                <w:highlight w:val="none"/>
                <w:lang w:val="en-US" w:eastAsia="zh-CN"/>
              </w:rPr>
              <w:t>。</w:t>
            </w:r>
          </w:p>
        </w:tc>
      </w:tr>
      <w:tr w14:paraId="232A88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BDBA3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14613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51573BF8">
            <w:pPr>
              <w:keepNext w:val="0"/>
              <w:keepLines w:val="0"/>
              <w:pageBreakBefore w:val="0"/>
              <w:widowControl w:val="0"/>
              <w:numPr>
                <w:ilvl w:val="0"/>
                <w:numId w:val="6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宜标识</w:t>
            </w:r>
            <w:r>
              <w:rPr>
                <w:rFonts w:hint="default" w:ascii="Times New Roman" w:hAnsi="Times New Roman" w:eastAsia="宋体" w:cs="Times New Roman"/>
                <w:sz w:val="21"/>
                <w:szCs w:val="21"/>
                <w:highlight w:val="none"/>
                <w:lang w:val="en-US" w:eastAsia="zh-CN"/>
              </w:rPr>
              <w:t>精确的尺寸、形状、位置和方向；</w:t>
            </w:r>
          </w:p>
          <w:p w14:paraId="72D8AFE3">
            <w:pPr>
              <w:keepNext w:val="0"/>
              <w:keepLines w:val="0"/>
              <w:pageBreakBefore w:val="0"/>
              <w:widowControl w:val="0"/>
              <w:numPr>
                <w:ilvl w:val="0"/>
                <w:numId w:val="6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w:t>
            </w:r>
            <w:r>
              <w:rPr>
                <w:rFonts w:hint="eastAsia" w:ascii="Times New Roman" w:hAnsi="Times New Roman" w:eastAsia="宋体" w:cs="Times New Roman"/>
                <w:sz w:val="21"/>
                <w:szCs w:val="21"/>
                <w:highlight w:val="none"/>
                <w:lang w:val="en-US" w:eastAsia="zh-CN"/>
              </w:rPr>
              <w:t>5</w:t>
            </w:r>
            <w:r>
              <w:rPr>
                <w:rFonts w:hint="default" w:ascii="Times New Roman" w:hAnsi="Times New Roman" w:eastAsia="宋体" w:cs="Times New Roman"/>
                <w:sz w:val="21"/>
                <w:szCs w:val="21"/>
                <w:highlight w:val="none"/>
                <w:lang w:val="en-US" w:eastAsia="zh-CN"/>
              </w:rPr>
              <w:t>mm。</w:t>
            </w:r>
          </w:p>
        </w:tc>
      </w:tr>
      <w:tr w14:paraId="1E5532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477C2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189827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0229282A">
            <w:pPr>
              <w:keepNext w:val="0"/>
              <w:keepLines w:val="0"/>
              <w:pageBreakBefore w:val="0"/>
              <w:widowControl w:val="0"/>
              <w:numPr>
                <w:ilvl w:val="0"/>
                <w:numId w:val="6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宜表示</w:t>
            </w:r>
            <w:r>
              <w:rPr>
                <w:rFonts w:hint="default" w:ascii="Times New Roman" w:hAnsi="Times New Roman" w:eastAsia="宋体" w:cs="Times New Roman"/>
                <w:sz w:val="21"/>
                <w:szCs w:val="21"/>
                <w:highlight w:val="none"/>
                <w:lang w:val="en-US" w:eastAsia="zh-CN"/>
              </w:rPr>
              <w:t>实际的尺寸、形状、位置和方向；</w:t>
            </w:r>
          </w:p>
          <w:p w14:paraId="148A2DC5">
            <w:pPr>
              <w:keepNext w:val="0"/>
              <w:keepLines w:val="0"/>
              <w:pageBreakBefore w:val="0"/>
              <w:widowControl w:val="0"/>
              <w:numPr>
                <w:ilvl w:val="0"/>
                <w:numId w:val="6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w:t>
            </w:r>
            <w:r>
              <w:rPr>
                <w:rFonts w:hint="eastAsia" w:ascii="Times New Roman" w:hAnsi="Times New Roman" w:eastAsia="宋体"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mm。</w:t>
            </w:r>
          </w:p>
        </w:tc>
      </w:tr>
      <w:tr w14:paraId="4EFC53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67D881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柱</w:t>
            </w:r>
          </w:p>
        </w:tc>
        <w:tc>
          <w:tcPr>
            <w:tcW w:w="983" w:type="dxa"/>
            <w:tcBorders>
              <w:tl2br w:val="nil"/>
              <w:tr2bl w:val="nil"/>
            </w:tcBorders>
            <w:vAlign w:val="center"/>
          </w:tcPr>
          <w:p w14:paraId="39F49C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5009050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2C4CC1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6964F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EEC54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13AEAA05">
            <w:pPr>
              <w:keepNext w:val="0"/>
              <w:keepLines w:val="0"/>
              <w:pageBreakBefore w:val="0"/>
              <w:widowControl w:val="0"/>
              <w:numPr>
                <w:ilvl w:val="0"/>
                <w:numId w:val="6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宜体量化表示柱几何特征；</w:t>
            </w:r>
          </w:p>
          <w:p w14:paraId="718ABBF4">
            <w:pPr>
              <w:keepNext w:val="0"/>
              <w:keepLines w:val="0"/>
              <w:pageBreakBefore w:val="0"/>
              <w:widowControl w:val="0"/>
              <w:numPr>
                <w:ilvl w:val="0"/>
                <w:numId w:val="6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宜表示核心层和外饰面材质；</w:t>
            </w:r>
          </w:p>
          <w:p w14:paraId="3699C090">
            <w:pPr>
              <w:keepNext w:val="0"/>
              <w:keepLines w:val="0"/>
              <w:pageBreakBefore w:val="0"/>
              <w:widowControl w:val="0"/>
              <w:numPr>
                <w:ilvl w:val="0"/>
                <w:numId w:val="6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柱定位基线宜与柱核心层表面重合，如有保温层，宜与保温层外表面重合。</w:t>
            </w:r>
          </w:p>
        </w:tc>
      </w:tr>
      <w:tr w14:paraId="7BD650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B9EAC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FD0F1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1D88E79A">
            <w:pPr>
              <w:keepNext w:val="0"/>
              <w:keepLines w:val="0"/>
              <w:pageBreakBefore w:val="0"/>
              <w:widowControl w:val="0"/>
              <w:numPr>
                <w:ilvl w:val="0"/>
                <w:numId w:val="6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构造层厚度不小于20mm时，宜按照实际厚度建模；</w:t>
            </w:r>
          </w:p>
          <w:p w14:paraId="3597D6E7">
            <w:pPr>
              <w:keepNext w:val="0"/>
              <w:keepLines w:val="0"/>
              <w:pageBreakBefore w:val="0"/>
              <w:widowControl w:val="0"/>
              <w:numPr>
                <w:ilvl w:val="0"/>
                <w:numId w:val="6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宜表示安装构件；</w:t>
            </w:r>
          </w:p>
          <w:p w14:paraId="1C4B11BD">
            <w:pPr>
              <w:keepNext w:val="0"/>
              <w:keepLines w:val="0"/>
              <w:pageBreakBefore w:val="0"/>
              <w:widowControl w:val="0"/>
              <w:numPr>
                <w:ilvl w:val="0"/>
                <w:numId w:val="6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宜表示各构造层的材质；</w:t>
            </w:r>
          </w:p>
          <w:p w14:paraId="6BF837C2">
            <w:pPr>
              <w:keepNext w:val="0"/>
              <w:keepLines w:val="0"/>
              <w:pageBreakBefore w:val="0"/>
              <w:widowControl w:val="0"/>
              <w:numPr>
                <w:ilvl w:val="0"/>
                <w:numId w:val="6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柱定位基线应与柱体核心层外表面重合，无核心层的柱，定位基线应与柱内表面重合，有保温的柱定位基线与保温层外表面重合。</w:t>
            </w:r>
          </w:p>
        </w:tc>
      </w:tr>
    </w:tbl>
    <w:p w14:paraId="6D9AA481"/>
    <w:p w14:paraId="3DEF3520">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lang w:val="en-US"/>
        </w:rPr>
      </w:pPr>
      <w:r>
        <w:rPr>
          <w:rFonts w:hint="eastAsia"/>
          <w:b/>
          <w:bCs/>
          <w:sz w:val="21"/>
          <w:szCs w:val="21"/>
          <w:lang w:val="en-US" w:eastAsia="zh-CN"/>
        </w:rPr>
        <w:t>续表A-2</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30752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480812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14E988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398A47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447254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tcBorders>
              <w:tl2br w:val="nil"/>
              <w:tr2bl w:val="nil"/>
            </w:tcBorders>
            <w:vAlign w:val="center"/>
          </w:tcPr>
          <w:p w14:paraId="11BCED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柱</w:t>
            </w:r>
          </w:p>
        </w:tc>
        <w:tc>
          <w:tcPr>
            <w:tcW w:w="983" w:type="dxa"/>
            <w:tcBorders>
              <w:tl2br w:val="nil"/>
              <w:tr2bl w:val="nil"/>
            </w:tcBorders>
            <w:vAlign w:val="center"/>
          </w:tcPr>
          <w:p w14:paraId="5799B5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4F9EA27D">
            <w:pPr>
              <w:keepNext w:val="0"/>
              <w:keepLines w:val="0"/>
              <w:pageBreakBefore w:val="0"/>
              <w:widowControl w:val="0"/>
              <w:numPr>
                <w:ilvl w:val="0"/>
                <w:numId w:val="6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构造层厚度不小于10mm时，宜按照实际厚度建模；</w:t>
            </w:r>
          </w:p>
          <w:p w14:paraId="541D9492">
            <w:pPr>
              <w:keepNext w:val="0"/>
              <w:keepLines w:val="0"/>
              <w:pageBreakBefore w:val="0"/>
              <w:widowControl w:val="0"/>
              <w:numPr>
                <w:ilvl w:val="0"/>
                <w:numId w:val="6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安装构件</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几何细度为10mm；</w:t>
            </w:r>
          </w:p>
          <w:p w14:paraId="4246172F">
            <w:pPr>
              <w:keepNext w:val="0"/>
              <w:keepLines w:val="0"/>
              <w:pageBreakBefore w:val="0"/>
              <w:widowControl w:val="0"/>
              <w:numPr>
                <w:ilvl w:val="0"/>
                <w:numId w:val="6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宜表示各构造层的材质；</w:t>
            </w:r>
          </w:p>
          <w:p w14:paraId="1F763091">
            <w:pPr>
              <w:keepNext w:val="0"/>
              <w:keepLines w:val="0"/>
              <w:pageBreakBefore w:val="0"/>
              <w:widowControl w:val="0"/>
              <w:numPr>
                <w:ilvl w:val="0"/>
                <w:numId w:val="6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柱定位基线应与柱体核心层外表面重合，无核心层的柱，定位基线应与柱内表面重合，有保温的柱定位基线与保温层外表面重合。</w:t>
            </w:r>
          </w:p>
        </w:tc>
      </w:tr>
      <w:tr w14:paraId="7CBE5A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4A33BE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梁</w:t>
            </w:r>
          </w:p>
        </w:tc>
        <w:tc>
          <w:tcPr>
            <w:tcW w:w="983" w:type="dxa"/>
            <w:tcBorders>
              <w:tl2br w:val="nil"/>
              <w:tr2bl w:val="nil"/>
            </w:tcBorders>
            <w:vAlign w:val="center"/>
          </w:tcPr>
          <w:p w14:paraId="41EFC2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4798684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5D87DA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175B3B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586E37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441EE2F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几何细度宜为10mm。</w:t>
            </w:r>
          </w:p>
        </w:tc>
      </w:tr>
      <w:tr w14:paraId="410E4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0E168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6B169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2D27648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几何细度宜为5mm。</w:t>
            </w:r>
          </w:p>
        </w:tc>
      </w:tr>
      <w:tr w14:paraId="680610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1FB1B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0FD78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71CFAD7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应建模，按照实际尺寸建模。</w:t>
            </w:r>
          </w:p>
        </w:tc>
      </w:tr>
      <w:tr w14:paraId="34DA7E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5630E6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配筋</w:t>
            </w:r>
          </w:p>
        </w:tc>
        <w:tc>
          <w:tcPr>
            <w:tcW w:w="983" w:type="dxa"/>
            <w:tcBorders>
              <w:tl2br w:val="nil"/>
              <w:tr2bl w:val="nil"/>
            </w:tcBorders>
            <w:vAlign w:val="center"/>
          </w:tcPr>
          <w:p w14:paraId="47C9CF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51B205B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088F6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DD3BE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662E9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7720F2E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主要结构筋、构造筋应建模。</w:t>
            </w:r>
          </w:p>
        </w:tc>
      </w:tr>
      <w:tr w14:paraId="58B613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25A6F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1BD15F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4460EB5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主要结构筋、构造筋、箍筋应建模。</w:t>
            </w:r>
          </w:p>
        </w:tc>
      </w:tr>
      <w:tr w14:paraId="43C052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B03A0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1C2677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55929D0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各类配筋应建模。</w:t>
            </w:r>
          </w:p>
        </w:tc>
      </w:tr>
      <w:tr w14:paraId="3C87DE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031F9A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钢结构</w:t>
            </w:r>
          </w:p>
        </w:tc>
        <w:tc>
          <w:tcPr>
            <w:tcW w:w="983" w:type="dxa"/>
            <w:tcBorders>
              <w:tl2br w:val="nil"/>
              <w:tr2bl w:val="nil"/>
            </w:tcBorders>
            <w:vAlign w:val="center"/>
          </w:tcPr>
          <w:p w14:paraId="3ECDFD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712F02F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70A634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E30B3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1816D6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75BDBFA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几何细度宜为10mm。</w:t>
            </w:r>
          </w:p>
        </w:tc>
      </w:tr>
      <w:tr w14:paraId="64DDF9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05787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62C79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31EAA99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几何细度宜为5mm。</w:t>
            </w:r>
          </w:p>
        </w:tc>
      </w:tr>
      <w:tr w14:paraId="620D57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15921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79D57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3A2B49D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w:t>
            </w:r>
            <w:r>
              <w:rPr>
                <w:rFonts w:hint="eastAsia" w:ascii="Times New Roman" w:hAnsi="Times New Roman" w:eastAsia="宋体" w:cs="Times New Roman"/>
                <w:sz w:val="21"/>
                <w:szCs w:val="21"/>
                <w:highlight w:val="none"/>
                <w:lang w:val="en-US" w:eastAsia="zh-CN"/>
              </w:rPr>
              <w:t>模型单元</w:t>
            </w:r>
            <w:r>
              <w:rPr>
                <w:rFonts w:hint="default" w:ascii="Times New Roman" w:hAnsi="Times New Roman" w:eastAsia="宋体" w:cs="Times New Roman"/>
                <w:sz w:val="21"/>
                <w:szCs w:val="21"/>
                <w:highlight w:val="none"/>
                <w:lang w:val="en-US" w:eastAsia="zh-CN"/>
              </w:rPr>
              <w:t>几何细度宜为2mm。</w:t>
            </w:r>
          </w:p>
        </w:tc>
      </w:tr>
    </w:tbl>
    <w:p w14:paraId="46B04BE2">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表A-3  管道</w:t>
      </w:r>
      <w:r>
        <w:rPr>
          <w:rFonts w:hint="default"/>
          <w:b/>
          <w:bCs/>
          <w:sz w:val="21"/>
          <w:szCs w:val="21"/>
          <w:lang w:val="en-US" w:eastAsia="zh-CN"/>
        </w:rPr>
        <w:t>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62FAC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724E43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755CC9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0A80AC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5FE093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7AF52F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管道及管件</w:t>
            </w:r>
          </w:p>
        </w:tc>
        <w:tc>
          <w:tcPr>
            <w:tcW w:w="983" w:type="dxa"/>
            <w:tcBorders>
              <w:tl2br w:val="nil"/>
              <w:tr2bl w:val="nil"/>
            </w:tcBorders>
            <w:vAlign w:val="center"/>
          </w:tcPr>
          <w:p w14:paraId="01B1BB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1D6DC8B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12C1DE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B7D4B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4CACB4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5B54FBEB">
            <w:pPr>
              <w:keepNext w:val="0"/>
              <w:keepLines w:val="0"/>
              <w:pageBreakBefore w:val="0"/>
              <w:widowControl w:val="0"/>
              <w:numPr>
                <w:ilvl w:val="0"/>
                <w:numId w:val="7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直径不小于20mm的管线应建模；</w:t>
            </w:r>
          </w:p>
          <w:p w14:paraId="619F1C9C">
            <w:pPr>
              <w:keepNext w:val="0"/>
              <w:keepLines w:val="0"/>
              <w:pageBreakBefore w:val="0"/>
              <w:widowControl w:val="0"/>
              <w:numPr>
                <w:ilvl w:val="0"/>
                <w:numId w:val="7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宜表示管线几何特征；</w:t>
            </w:r>
          </w:p>
          <w:p w14:paraId="1C6EF5C6">
            <w:pPr>
              <w:keepNext w:val="0"/>
              <w:keepLines w:val="0"/>
              <w:pageBreakBefore w:val="0"/>
              <w:widowControl w:val="0"/>
              <w:numPr>
                <w:ilvl w:val="0"/>
                <w:numId w:val="7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有坡度的管道宜表示坡度；</w:t>
            </w:r>
          </w:p>
          <w:p w14:paraId="050A7E13">
            <w:pPr>
              <w:keepNext w:val="0"/>
              <w:keepLines w:val="0"/>
              <w:pageBreakBefore w:val="0"/>
              <w:widowControl w:val="0"/>
              <w:numPr>
                <w:ilvl w:val="0"/>
                <w:numId w:val="7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有保温的管道宜表示管道保温层材质及厚度。</w:t>
            </w:r>
          </w:p>
        </w:tc>
      </w:tr>
      <w:tr w14:paraId="2A5479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DB4F3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56A17F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40FAC369">
            <w:pPr>
              <w:keepNext w:val="0"/>
              <w:keepLines w:val="0"/>
              <w:pageBreakBefore w:val="0"/>
              <w:widowControl w:val="0"/>
              <w:numPr>
                <w:ilvl w:val="0"/>
                <w:numId w:val="7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直径不小于10m的管线应建模；</w:t>
            </w:r>
          </w:p>
          <w:p w14:paraId="1024E722">
            <w:pPr>
              <w:keepNext w:val="0"/>
              <w:keepLines w:val="0"/>
              <w:pageBreakBefore w:val="0"/>
              <w:widowControl w:val="0"/>
              <w:numPr>
                <w:ilvl w:val="0"/>
                <w:numId w:val="7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宜按照管线实际材质及规格尺寸建模；</w:t>
            </w:r>
          </w:p>
          <w:p w14:paraId="33AB3D77">
            <w:pPr>
              <w:keepNext w:val="0"/>
              <w:keepLines w:val="0"/>
              <w:pageBreakBefore w:val="0"/>
              <w:widowControl w:val="0"/>
              <w:numPr>
                <w:ilvl w:val="0"/>
                <w:numId w:val="7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有坡度的管道宜按照实际坡度建模；</w:t>
            </w:r>
          </w:p>
          <w:p w14:paraId="6FBF7BD0">
            <w:pPr>
              <w:keepNext w:val="0"/>
              <w:keepLines w:val="0"/>
              <w:pageBreakBefore w:val="0"/>
              <w:widowControl w:val="0"/>
              <w:numPr>
                <w:ilvl w:val="0"/>
                <w:numId w:val="7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有保温管道宜按照实际保温材质及厚度建模；</w:t>
            </w:r>
          </w:p>
          <w:p w14:paraId="4C7D7084">
            <w:pPr>
              <w:keepNext w:val="0"/>
              <w:keepLines w:val="0"/>
              <w:pageBreakBefore w:val="0"/>
              <w:widowControl w:val="0"/>
              <w:numPr>
                <w:ilvl w:val="0"/>
                <w:numId w:val="7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宜表示管道支架的几何尺寸。</w:t>
            </w:r>
          </w:p>
        </w:tc>
      </w:tr>
      <w:tr w14:paraId="6FCDA8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469CD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72DD5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58FB6CF7">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所有管线应建模；</w:t>
            </w:r>
          </w:p>
          <w:p w14:paraId="65B17AB9">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宜按照管线实际材质及规格尺寸建模；</w:t>
            </w:r>
          </w:p>
          <w:p w14:paraId="70CA9359">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管道配件和连接件宜按照其实际材质和规格尺寸建模；</w:t>
            </w:r>
          </w:p>
          <w:p w14:paraId="3EB6E705">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有坡度的管道宜按照实际坡度建模；</w:t>
            </w:r>
          </w:p>
          <w:p w14:paraId="4D74CE15">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有保温管道宜按照实际保温材质及厚度建模；</w:t>
            </w:r>
          </w:p>
          <w:p w14:paraId="32323DEE">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宜按照管道实际安装尺寸进行分节，建出焊口及法兰等；</w:t>
            </w:r>
          </w:p>
          <w:p w14:paraId="06445BEF">
            <w:pPr>
              <w:keepNext w:val="0"/>
              <w:keepLines w:val="0"/>
              <w:pageBreakBefore w:val="0"/>
              <w:widowControl w:val="0"/>
              <w:numPr>
                <w:ilvl w:val="0"/>
                <w:numId w:val="7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按照支架实际尺寸建模。</w:t>
            </w:r>
          </w:p>
        </w:tc>
      </w:tr>
      <w:tr w14:paraId="2810AE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455B82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管道附件</w:t>
            </w:r>
          </w:p>
        </w:tc>
        <w:tc>
          <w:tcPr>
            <w:tcW w:w="983" w:type="dxa"/>
            <w:tcBorders>
              <w:tl2br w:val="nil"/>
              <w:tr2bl w:val="nil"/>
            </w:tcBorders>
            <w:vAlign w:val="center"/>
          </w:tcPr>
          <w:p w14:paraId="7A567A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1DE762A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793E9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1D6EF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8E5DD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0705D25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宜表示构件的几何特征及空间占位。</w:t>
            </w:r>
          </w:p>
        </w:tc>
      </w:tr>
    </w:tbl>
    <w:p w14:paraId="78655DD7">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lang w:val="en-US"/>
        </w:rPr>
      </w:pPr>
      <w:r>
        <w:rPr>
          <w:rFonts w:hint="eastAsia"/>
          <w:b/>
          <w:bCs/>
          <w:sz w:val="21"/>
          <w:szCs w:val="21"/>
          <w:lang w:val="en-US" w:eastAsia="zh-CN"/>
        </w:rPr>
        <w:t>续表A-3</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4322F3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1D8852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75B1C1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385126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0FC77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63C350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管道附件</w:t>
            </w:r>
          </w:p>
        </w:tc>
        <w:tc>
          <w:tcPr>
            <w:tcW w:w="983" w:type="dxa"/>
            <w:tcBorders>
              <w:tl2br w:val="nil"/>
              <w:tr2bl w:val="nil"/>
            </w:tcBorders>
            <w:vAlign w:val="center"/>
          </w:tcPr>
          <w:p w14:paraId="06646A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7B1F4204">
            <w:pPr>
              <w:keepNext w:val="0"/>
              <w:keepLines w:val="0"/>
              <w:pageBreakBefore w:val="0"/>
              <w:widowControl w:val="0"/>
              <w:numPr>
                <w:ilvl w:val="0"/>
                <w:numId w:val="7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宜按照构件的实际材质及规格尺寸建模；</w:t>
            </w:r>
          </w:p>
          <w:p w14:paraId="5B448EAB">
            <w:pPr>
              <w:keepNext w:val="0"/>
              <w:keepLines w:val="0"/>
              <w:pageBreakBefore w:val="0"/>
              <w:widowControl w:val="0"/>
              <w:numPr>
                <w:ilvl w:val="0"/>
                <w:numId w:val="7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宜表达构件的其他附件及其连接件结合方式。</w:t>
            </w:r>
          </w:p>
        </w:tc>
      </w:tr>
      <w:tr w14:paraId="02BD4B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119B92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32585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637E76C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宜按照构件的实际材质、细部构造、规格尺寸、连接方式、安装附件等建模。</w:t>
            </w:r>
          </w:p>
        </w:tc>
      </w:tr>
      <w:tr w14:paraId="2C32CA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2AFB5F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在线设备</w:t>
            </w:r>
          </w:p>
        </w:tc>
        <w:tc>
          <w:tcPr>
            <w:tcW w:w="983" w:type="dxa"/>
            <w:tcBorders>
              <w:tl2br w:val="nil"/>
              <w:tr2bl w:val="nil"/>
            </w:tcBorders>
            <w:vAlign w:val="center"/>
          </w:tcPr>
          <w:p w14:paraId="3C57C9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G1</w:t>
            </w:r>
          </w:p>
        </w:tc>
        <w:tc>
          <w:tcPr>
            <w:tcW w:w="6361" w:type="dxa"/>
            <w:tcBorders>
              <w:tl2br w:val="nil"/>
              <w:tr2bl w:val="nil"/>
            </w:tcBorders>
            <w:vAlign w:val="center"/>
          </w:tcPr>
          <w:p w14:paraId="1FBBB86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宜以二维图形</w:t>
            </w:r>
            <w:r>
              <w:rPr>
                <w:rFonts w:hint="default" w:ascii="Times New Roman" w:hAnsi="Times New Roman" w:eastAsia="宋体" w:cs="Times New Roman"/>
                <w:sz w:val="21"/>
                <w:szCs w:val="21"/>
                <w:highlight w:val="none"/>
                <w:lang w:val="en-US" w:eastAsia="zh-CN"/>
              </w:rPr>
              <w:t>或体量化表达</w:t>
            </w:r>
            <w:r>
              <w:rPr>
                <w:rFonts w:hint="default" w:ascii="Times New Roman" w:hAnsi="Times New Roman" w:eastAsia="宋体" w:cs="Times New Roman"/>
                <w:strike w:val="0"/>
                <w:dstrike w:val="0"/>
                <w:sz w:val="21"/>
                <w:szCs w:val="21"/>
                <w:highlight w:val="none"/>
                <w:lang w:val="en-US" w:eastAsia="zh-CN"/>
              </w:rPr>
              <w:t>。</w:t>
            </w:r>
          </w:p>
        </w:tc>
      </w:tr>
      <w:tr w14:paraId="5B4AD1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27C0F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p>
        </w:tc>
        <w:tc>
          <w:tcPr>
            <w:tcW w:w="983" w:type="dxa"/>
            <w:tcBorders>
              <w:tl2br w:val="nil"/>
              <w:tr2bl w:val="nil"/>
            </w:tcBorders>
            <w:vAlign w:val="center"/>
          </w:tcPr>
          <w:p w14:paraId="1AA85A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G2</w:t>
            </w:r>
          </w:p>
        </w:tc>
        <w:tc>
          <w:tcPr>
            <w:tcW w:w="6361" w:type="dxa"/>
            <w:tcBorders>
              <w:tl2br w:val="nil"/>
              <w:tr2bl w:val="nil"/>
            </w:tcBorders>
            <w:vAlign w:val="center"/>
          </w:tcPr>
          <w:p w14:paraId="52826573">
            <w:pPr>
              <w:keepNext w:val="0"/>
              <w:keepLines w:val="0"/>
              <w:pageBreakBefore w:val="0"/>
              <w:widowControl w:val="0"/>
              <w:numPr>
                <w:ilvl w:val="0"/>
                <w:numId w:val="7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宜表达设备的几何特征；</w:t>
            </w:r>
          </w:p>
          <w:p w14:paraId="109DD03A">
            <w:pPr>
              <w:keepNext w:val="0"/>
              <w:keepLines w:val="0"/>
              <w:pageBreakBefore w:val="0"/>
              <w:widowControl w:val="0"/>
              <w:numPr>
                <w:ilvl w:val="0"/>
                <w:numId w:val="7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宜表示构件的材质及附件布置。</w:t>
            </w:r>
          </w:p>
        </w:tc>
      </w:tr>
      <w:tr w14:paraId="531D17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F02B2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p>
        </w:tc>
        <w:tc>
          <w:tcPr>
            <w:tcW w:w="983" w:type="dxa"/>
            <w:tcBorders>
              <w:tl2br w:val="nil"/>
              <w:tr2bl w:val="nil"/>
            </w:tcBorders>
            <w:vAlign w:val="center"/>
          </w:tcPr>
          <w:p w14:paraId="75BA65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G3</w:t>
            </w:r>
          </w:p>
        </w:tc>
        <w:tc>
          <w:tcPr>
            <w:tcW w:w="6361" w:type="dxa"/>
            <w:tcBorders>
              <w:tl2br w:val="nil"/>
              <w:tr2bl w:val="nil"/>
            </w:tcBorders>
            <w:vAlign w:val="center"/>
          </w:tcPr>
          <w:p w14:paraId="47DF412E">
            <w:pPr>
              <w:keepNext w:val="0"/>
              <w:keepLines w:val="0"/>
              <w:pageBreakBefore w:val="0"/>
              <w:widowControl w:val="0"/>
              <w:numPr>
                <w:ilvl w:val="0"/>
                <w:numId w:val="7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w:t>
            </w:r>
            <w:r>
              <w:rPr>
                <w:rFonts w:hint="default" w:ascii="Times New Roman" w:hAnsi="Times New Roman" w:eastAsia="宋体" w:cs="Times New Roman"/>
                <w:sz w:val="21"/>
                <w:szCs w:val="21"/>
                <w:highlight w:val="none"/>
                <w:lang w:val="en-US" w:eastAsia="zh-CN"/>
              </w:rPr>
              <w:t>详细表达设备的外形尺寸及位置，粗略表达其内部构造；</w:t>
            </w:r>
          </w:p>
          <w:p w14:paraId="460628B1">
            <w:pPr>
              <w:keepNext w:val="0"/>
              <w:keepLines w:val="0"/>
              <w:pageBreakBefore w:val="0"/>
              <w:widowControl w:val="0"/>
              <w:numPr>
                <w:ilvl w:val="0"/>
                <w:numId w:val="7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宜表达其连接管道、阀门、管件、附属设备或基座等安装位置及尺寸。</w:t>
            </w:r>
          </w:p>
        </w:tc>
      </w:tr>
      <w:tr w14:paraId="523DD8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B6D49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p>
        </w:tc>
        <w:tc>
          <w:tcPr>
            <w:tcW w:w="983" w:type="dxa"/>
            <w:tcBorders>
              <w:tl2br w:val="nil"/>
              <w:tr2bl w:val="nil"/>
            </w:tcBorders>
            <w:vAlign w:val="center"/>
          </w:tcPr>
          <w:p w14:paraId="003C3D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G4</w:t>
            </w:r>
          </w:p>
        </w:tc>
        <w:tc>
          <w:tcPr>
            <w:tcW w:w="6361" w:type="dxa"/>
            <w:tcBorders>
              <w:tl2br w:val="nil"/>
              <w:tr2bl w:val="nil"/>
            </w:tcBorders>
            <w:vAlign w:val="center"/>
          </w:tcPr>
          <w:p w14:paraId="7D9CEE5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宜按照产品的实际尺寸建模或采用高精度扫描模型。</w:t>
            </w:r>
          </w:p>
        </w:tc>
      </w:tr>
    </w:tbl>
    <w:p w14:paraId="155B2ACA">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表A-4  通风空调</w:t>
      </w:r>
      <w:r>
        <w:rPr>
          <w:rFonts w:hint="default"/>
          <w:b/>
          <w:bCs/>
          <w:sz w:val="21"/>
          <w:szCs w:val="21"/>
          <w:lang w:val="en-US" w:eastAsia="zh-CN"/>
        </w:rPr>
        <w:t>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628C6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tblHeader/>
          <w:jc w:val="center"/>
        </w:trPr>
        <w:tc>
          <w:tcPr>
            <w:tcW w:w="1178" w:type="dxa"/>
            <w:tcBorders>
              <w:tl2br w:val="nil"/>
              <w:tr2bl w:val="nil"/>
            </w:tcBorders>
            <w:vAlign w:val="center"/>
          </w:tcPr>
          <w:p w14:paraId="102B19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102790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6616EB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52939C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712D49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风管和管件</w:t>
            </w:r>
          </w:p>
        </w:tc>
        <w:tc>
          <w:tcPr>
            <w:tcW w:w="983" w:type="dxa"/>
            <w:tcBorders>
              <w:tl2br w:val="nil"/>
              <w:tr2bl w:val="nil"/>
            </w:tcBorders>
            <w:vAlign w:val="center"/>
          </w:tcPr>
          <w:p w14:paraId="7E5073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6B3D419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0E101F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E6A0A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C2C1A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741B4EFD">
            <w:pPr>
              <w:keepNext w:val="0"/>
              <w:keepLines w:val="0"/>
              <w:pageBreakBefore w:val="0"/>
              <w:widowControl w:val="0"/>
              <w:numPr>
                <w:ilvl w:val="0"/>
                <w:numId w:val="7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宜表示管线几何特征；</w:t>
            </w:r>
          </w:p>
          <w:p w14:paraId="5752782B">
            <w:pPr>
              <w:keepNext w:val="0"/>
              <w:keepLines w:val="0"/>
              <w:pageBreakBefore w:val="0"/>
              <w:widowControl w:val="0"/>
              <w:numPr>
                <w:ilvl w:val="0"/>
                <w:numId w:val="7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宜表达风管末端位置。</w:t>
            </w:r>
          </w:p>
        </w:tc>
      </w:tr>
      <w:tr w14:paraId="2825DB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C7708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707A33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0C5B77C7">
            <w:pPr>
              <w:keepNext w:val="0"/>
              <w:keepLines w:val="0"/>
              <w:pageBreakBefore w:val="0"/>
              <w:widowControl w:val="0"/>
              <w:numPr>
                <w:ilvl w:val="0"/>
                <w:numId w:val="7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宜按照风管实际材质及规格尺寸建模；</w:t>
            </w:r>
          </w:p>
          <w:p w14:paraId="254FDDAD">
            <w:pPr>
              <w:keepNext w:val="0"/>
              <w:keepLines w:val="0"/>
              <w:pageBreakBefore w:val="0"/>
              <w:widowControl w:val="0"/>
              <w:numPr>
                <w:ilvl w:val="0"/>
                <w:numId w:val="7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风管末端及末端百叶应按照其实际尺寸及位置建模；</w:t>
            </w:r>
          </w:p>
          <w:p w14:paraId="33C3164F">
            <w:pPr>
              <w:keepNext w:val="0"/>
              <w:keepLines w:val="0"/>
              <w:pageBreakBefore w:val="0"/>
              <w:widowControl w:val="0"/>
              <w:numPr>
                <w:ilvl w:val="0"/>
                <w:numId w:val="7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有保温风管宜按照实际保温材质及厚度建模；</w:t>
            </w:r>
          </w:p>
          <w:p w14:paraId="33C3EC56">
            <w:pPr>
              <w:keepNext w:val="0"/>
              <w:keepLines w:val="0"/>
              <w:pageBreakBefore w:val="0"/>
              <w:widowControl w:val="0"/>
              <w:numPr>
                <w:ilvl w:val="0"/>
                <w:numId w:val="7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宜表示风管支架的几何尺寸。</w:t>
            </w:r>
          </w:p>
        </w:tc>
      </w:tr>
      <w:tr w14:paraId="32180E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38E81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504E0D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4CED692B">
            <w:pPr>
              <w:keepNext w:val="0"/>
              <w:keepLines w:val="0"/>
              <w:pageBreakBefore w:val="0"/>
              <w:widowControl w:val="0"/>
              <w:numPr>
                <w:ilvl w:val="0"/>
                <w:numId w:val="7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宜按照风管实际材质及规格尺寸建模；</w:t>
            </w:r>
          </w:p>
          <w:p w14:paraId="4111A993">
            <w:pPr>
              <w:keepNext w:val="0"/>
              <w:keepLines w:val="0"/>
              <w:pageBreakBefore w:val="0"/>
              <w:widowControl w:val="0"/>
              <w:numPr>
                <w:ilvl w:val="0"/>
                <w:numId w:val="7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风管末端及末端百叶应按照其实际尺寸及位置建模；</w:t>
            </w:r>
          </w:p>
          <w:p w14:paraId="7DCBA926">
            <w:pPr>
              <w:keepNext w:val="0"/>
              <w:keepLines w:val="0"/>
              <w:pageBreakBefore w:val="0"/>
              <w:widowControl w:val="0"/>
              <w:numPr>
                <w:ilvl w:val="0"/>
                <w:numId w:val="7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有保温风管宜按照实际保温材质及厚度建模；</w:t>
            </w:r>
          </w:p>
          <w:p w14:paraId="02A09A20">
            <w:pPr>
              <w:keepNext w:val="0"/>
              <w:keepLines w:val="0"/>
              <w:pageBreakBefore w:val="0"/>
              <w:widowControl w:val="0"/>
              <w:numPr>
                <w:ilvl w:val="0"/>
                <w:numId w:val="7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宜按照风管实际安装尺寸进行分节；</w:t>
            </w:r>
          </w:p>
          <w:p w14:paraId="208D584D">
            <w:pPr>
              <w:keepNext w:val="0"/>
              <w:keepLines w:val="0"/>
              <w:pageBreakBefore w:val="0"/>
              <w:widowControl w:val="0"/>
              <w:numPr>
                <w:ilvl w:val="0"/>
                <w:numId w:val="7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按照支架实际尺寸建模。</w:t>
            </w:r>
          </w:p>
        </w:tc>
      </w:tr>
      <w:tr w14:paraId="46F98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0AACC0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风管附件</w:t>
            </w:r>
          </w:p>
        </w:tc>
        <w:tc>
          <w:tcPr>
            <w:tcW w:w="983" w:type="dxa"/>
            <w:tcBorders>
              <w:tl2br w:val="nil"/>
              <w:tr2bl w:val="nil"/>
            </w:tcBorders>
            <w:vAlign w:val="center"/>
          </w:tcPr>
          <w:p w14:paraId="44BB44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6FE1FDF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宜二维图形或体量化表达。</w:t>
            </w:r>
          </w:p>
        </w:tc>
      </w:tr>
      <w:tr w14:paraId="5DB9C4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887A6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E6C75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5860819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宜表示构件的几何特征及空间占位。</w:t>
            </w:r>
          </w:p>
        </w:tc>
      </w:tr>
      <w:tr w14:paraId="4B54FF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EE22D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02E01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6D5E19CA">
            <w:pPr>
              <w:keepNext w:val="0"/>
              <w:keepLines w:val="0"/>
              <w:pageBreakBefore w:val="0"/>
              <w:widowControl w:val="0"/>
              <w:numPr>
                <w:ilvl w:val="0"/>
                <w:numId w:val="7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宜按照构件的实际材质及规格尺寸建模；</w:t>
            </w:r>
          </w:p>
          <w:p w14:paraId="6CA822F7">
            <w:pPr>
              <w:keepNext w:val="0"/>
              <w:keepLines w:val="0"/>
              <w:pageBreakBefore w:val="0"/>
              <w:widowControl w:val="0"/>
              <w:numPr>
                <w:ilvl w:val="0"/>
                <w:numId w:val="7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宜表达构件的其他附件及其连接件结合方式。</w:t>
            </w:r>
          </w:p>
        </w:tc>
      </w:tr>
      <w:tr w14:paraId="129D62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83834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510B6E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1CD732E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宜按照构件的实际材质、细部构造、规格尺寸、连接方式、安装附件等建模。</w:t>
            </w:r>
          </w:p>
        </w:tc>
      </w:tr>
      <w:tr w14:paraId="29C5E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636DB8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eastAsia" w:ascii="Times New Roman" w:hAnsi="Times New Roman" w:eastAsia="宋体" w:cs="Times New Roman"/>
                <w:sz w:val="21"/>
                <w:szCs w:val="21"/>
                <w:highlight w:val="none"/>
                <w:lang w:val="en-US" w:eastAsia="zh-CN"/>
              </w:rPr>
              <w:t>通风空调</w:t>
            </w:r>
            <w:r>
              <w:rPr>
                <w:rFonts w:hint="default" w:ascii="Times New Roman" w:hAnsi="Times New Roman" w:eastAsia="宋体" w:cs="Times New Roman"/>
                <w:sz w:val="21"/>
                <w:szCs w:val="21"/>
                <w:highlight w:val="none"/>
                <w:lang w:val="en-US" w:eastAsia="zh-CN"/>
              </w:rPr>
              <w:t>设备</w:t>
            </w:r>
          </w:p>
        </w:tc>
        <w:tc>
          <w:tcPr>
            <w:tcW w:w="983" w:type="dxa"/>
            <w:tcBorders>
              <w:tl2br w:val="nil"/>
              <w:tr2bl w:val="nil"/>
            </w:tcBorders>
            <w:vAlign w:val="center"/>
          </w:tcPr>
          <w:p w14:paraId="3B45D0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72E60B8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trike w:val="0"/>
                <w:dstrike w:val="0"/>
                <w:sz w:val="21"/>
                <w:szCs w:val="21"/>
                <w:highlight w:val="none"/>
                <w:lang w:val="en-US" w:eastAsia="zh-CN"/>
              </w:rPr>
              <w:t>宜以二维图形</w:t>
            </w:r>
            <w:r>
              <w:rPr>
                <w:rFonts w:hint="default" w:ascii="Times New Roman" w:hAnsi="Times New Roman" w:eastAsia="宋体" w:cs="Times New Roman"/>
                <w:sz w:val="21"/>
                <w:szCs w:val="21"/>
                <w:highlight w:val="none"/>
                <w:lang w:val="en-US" w:eastAsia="zh-CN"/>
              </w:rPr>
              <w:t>或体量化表达</w:t>
            </w:r>
            <w:r>
              <w:rPr>
                <w:rFonts w:hint="default" w:ascii="Times New Roman" w:hAnsi="Times New Roman" w:eastAsia="宋体" w:cs="Times New Roman"/>
                <w:strike w:val="0"/>
                <w:dstrike w:val="0"/>
                <w:sz w:val="21"/>
                <w:szCs w:val="21"/>
                <w:highlight w:val="none"/>
                <w:lang w:val="en-US" w:eastAsia="zh-CN"/>
              </w:rPr>
              <w:t>。</w:t>
            </w:r>
          </w:p>
        </w:tc>
      </w:tr>
      <w:tr w14:paraId="69F783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1B9AD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p>
        </w:tc>
        <w:tc>
          <w:tcPr>
            <w:tcW w:w="983" w:type="dxa"/>
            <w:tcBorders>
              <w:tl2br w:val="nil"/>
              <w:tr2bl w:val="nil"/>
            </w:tcBorders>
            <w:vAlign w:val="center"/>
          </w:tcPr>
          <w:p w14:paraId="775A3C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7670E035">
            <w:pPr>
              <w:keepNext w:val="0"/>
              <w:keepLines w:val="0"/>
              <w:pageBreakBefore w:val="0"/>
              <w:widowControl w:val="0"/>
              <w:numPr>
                <w:ilvl w:val="0"/>
                <w:numId w:val="8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宜表达设备的几何特征；</w:t>
            </w:r>
          </w:p>
          <w:p w14:paraId="0E0DB069">
            <w:pPr>
              <w:keepNext w:val="0"/>
              <w:keepLines w:val="0"/>
              <w:pageBreakBefore w:val="0"/>
              <w:widowControl w:val="0"/>
              <w:numPr>
                <w:ilvl w:val="0"/>
                <w:numId w:val="8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宜表示构件的材质及附件布置。</w:t>
            </w:r>
          </w:p>
        </w:tc>
      </w:tr>
      <w:tr w14:paraId="4298CD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3232B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p>
        </w:tc>
        <w:tc>
          <w:tcPr>
            <w:tcW w:w="983" w:type="dxa"/>
            <w:tcBorders>
              <w:tl2br w:val="nil"/>
              <w:tr2bl w:val="nil"/>
            </w:tcBorders>
            <w:vAlign w:val="center"/>
          </w:tcPr>
          <w:p w14:paraId="09C6DB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35B4CD89">
            <w:pPr>
              <w:keepNext w:val="0"/>
              <w:keepLines w:val="0"/>
              <w:pageBreakBefore w:val="0"/>
              <w:widowControl w:val="0"/>
              <w:numPr>
                <w:ilvl w:val="0"/>
                <w:numId w:val="8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w:t>
            </w:r>
            <w:r>
              <w:rPr>
                <w:rFonts w:hint="default" w:ascii="Times New Roman" w:hAnsi="Times New Roman" w:eastAsia="宋体" w:cs="Times New Roman"/>
                <w:sz w:val="21"/>
                <w:szCs w:val="21"/>
                <w:highlight w:val="none"/>
                <w:lang w:val="en-US" w:eastAsia="zh-CN"/>
              </w:rPr>
              <w:t>详细表达设备的外形尺寸及位置，粗略表达其内部构造；</w:t>
            </w:r>
          </w:p>
          <w:p w14:paraId="5F6CDF6E">
            <w:pPr>
              <w:keepNext w:val="0"/>
              <w:keepLines w:val="0"/>
              <w:pageBreakBefore w:val="0"/>
              <w:widowControl w:val="0"/>
              <w:numPr>
                <w:ilvl w:val="0"/>
                <w:numId w:val="8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宜表达其连接风管、阀门、管件、附属设备或基座等安装位置及尺寸。</w:t>
            </w:r>
          </w:p>
        </w:tc>
      </w:tr>
      <w:tr w14:paraId="4E6622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924BB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p>
        </w:tc>
        <w:tc>
          <w:tcPr>
            <w:tcW w:w="983" w:type="dxa"/>
            <w:tcBorders>
              <w:tl2br w:val="nil"/>
              <w:tr2bl w:val="nil"/>
            </w:tcBorders>
            <w:vAlign w:val="center"/>
          </w:tcPr>
          <w:p w14:paraId="7B71DF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03ABE3D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宜按照产品的实际尺寸建模或采用高精度扫描模型。</w:t>
            </w:r>
          </w:p>
        </w:tc>
      </w:tr>
    </w:tbl>
    <w:p w14:paraId="6B1C23AD">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 xml:space="preserve">表A-5  </w:t>
      </w:r>
      <w:r>
        <w:rPr>
          <w:rFonts w:hint="default"/>
          <w:b/>
          <w:bCs/>
          <w:sz w:val="21"/>
          <w:szCs w:val="21"/>
          <w:lang w:val="en-US" w:eastAsia="zh-CN"/>
        </w:rPr>
        <w:t>电气模型单元几何表达精度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5FBBA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4EA2B3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34B7DF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71F02B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512C1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0173B5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电缆桥架（主桥架、次桥架）</w:t>
            </w:r>
          </w:p>
        </w:tc>
        <w:tc>
          <w:tcPr>
            <w:tcW w:w="983" w:type="dxa"/>
            <w:tcBorders>
              <w:tl2br w:val="nil"/>
              <w:tr2bl w:val="nil"/>
            </w:tcBorders>
            <w:vAlign w:val="center"/>
          </w:tcPr>
          <w:p w14:paraId="2F3B89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5732FBF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7BDFD9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65BB7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67069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1D482C8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应体量化建模表示主体空间占位。</w:t>
            </w:r>
          </w:p>
        </w:tc>
      </w:tr>
      <w:tr w14:paraId="216051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1A91D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EFDC1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3DE9DA38">
            <w:pPr>
              <w:keepNext w:val="0"/>
              <w:keepLines w:val="0"/>
              <w:pageBreakBefore w:val="0"/>
              <w:widowControl w:val="0"/>
              <w:numPr>
                <w:ilvl w:val="0"/>
                <w:numId w:val="8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应按照桥架的实际规格尺寸及材质建模；</w:t>
            </w:r>
          </w:p>
          <w:p w14:paraId="3A3DBD44">
            <w:pPr>
              <w:keepNext w:val="0"/>
              <w:keepLines w:val="0"/>
              <w:pageBreakBefore w:val="0"/>
              <w:widowControl w:val="0"/>
              <w:numPr>
                <w:ilvl w:val="0"/>
                <w:numId w:val="8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应建模表示电缆桥架支架的尺寸及位置。</w:t>
            </w:r>
          </w:p>
          <w:p w14:paraId="2D18C02D">
            <w:pPr>
              <w:keepNext w:val="0"/>
              <w:keepLines w:val="0"/>
              <w:pageBreakBefore w:val="0"/>
              <w:widowControl w:val="0"/>
              <w:numPr>
                <w:ilvl w:val="0"/>
                <w:numId w:val="82"/>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有防火包裹的宜按照实际包裹材质及厚度建模。</w:t>
            </w:r>
          </w:p>
        </w:tc>
      </w:tr>
      <w:tr w14:paraId="018A00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3F79D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14DF5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67D7CE4C">
            <w:pPr>
              <w:keepNext w:val="0"/>
              <w:keepLines w:val="0"/>
              <w:pageBreakBefore w:val="0"/>
              <w:widowControl w:val="0"/>
              <w:numPr>
                <w:ilvl w:val="0"/>
                <w:numId w:val="8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应按照桥架实际规格尺寸及材质建模；</w:t>
            </w:r>
          </w:p>
          <w:p w14:paraId="03AB4CE5">
            <w:pPr>
              <w:keepNext w:val="0"/>
              <w:keepLines w:val="0"/>
              <w:pageBreakBefore w:val="0"/>
              <w:widowControl w:val="0"/>
              <w:numPr>
                <w:ilvl w:val="0"/>
                <w:numId w:val="8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应建模表示电缆桥架支架的尺寸及位置；</w:t>
            </w:r>
          </w:p>
          <w:p w14:paraId="0F476E02">
            <w:pPr>
              <w:keepNext w:val="0"/>
              <w:keepLines w:val="0"/>
              <w:pageBreakBefore w:val="0"/>
              <w:widowControl w:val="0"/>
              <w:numPr>
                <w:ilvl w:val="0"/>
                <w:numId w:val="8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有防火包裹的应按照实际包裹材质及厚度建模；</w:t>
            </w:r>
          </w:p>
          <w:p w14:paraId="514ED301">
            <w:pPr>
              <w:keepNext w:val="0"/>
              <w:keepLines w:val="0"/>
              <w:pageBreakBefore w:val="0"/>
              <w:widowControl w:val="0"/>
              <w:numPr>
                <w:ilvl w:val="0"/>
                <w:numId w:val="8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宜按照桥架实际安装尺寸进行分段或分节；</w:t>
            </w:r>
          </w:p>
          <w:p w14:paraId="141ADC55">
            <w:pPr>
              <w:keepNext w:val="0"/>
              <w:keepLines w:val="0"/>
              <w:pageBreakBefore w:val="0"/>
              <w:widowControl w:val="0"/>
              <w:numPr>
                <w:ilvl w:val="0"/>
                <w:numId w:val="83"/>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宜按照实际尺寸建模安装构件。</w:t>
            </w:r>
          </w:p>
        </w:tc>
      </w:tr>
      <w:tr w14:paraId="79C2DE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515907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电线/电缆配线管</w:t>
            </w:r>
          </w:p>
        </w:tc>
        <w:tc>
          <w:tcPr>
            <w:tcW w:w="983" w:type="dxa"/>
            <w:tcBorders>
              <w:tl2br w:val="nil"/>
              <w:tr2bl w:val="nil"/>
            </w:tcBorders>
            <w:vAlign w:val="center"/>
          </w:tcPr>
          <w:p w14:paraId="08563A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02393C6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4D80B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D316F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AE892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0052EAD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宜</w:t>
            </w:r>
            <w:r>
              <w:rPr>
                <w:rFonts w:hint="default" w:ascii="Times New Roman" w:hAnsi="Times New Roman" w:eastAsia="宋体" w:cs="Times New Roman"/>
                <w:sz w:val="21"/>
                <w:szCs w:val="21"/>
                <w:highlight w:val="none"/>
                <w:lang w:val="en-US" w:eastAsia="zh-CN"/>
              </w:rPr>
              <w:t>体量化建模表示主体空间占位。</w:t>
            </w:r>
          </w:p>
        </w:tc>
      </w:tr>
      <w:tr w14:paraId="59C943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E0A94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E05AB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0B449D9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宜</w:t>
            </w:r>
            <w:r>
              <w:rPr>
                <w:rFonts w:hint="default" w:ascii="Times New Roman" w:hAnsi="Times New Roman" w:eastAsia="宋体" w:cs="Times New Roman"/>
                <w:sz w:val="21"/>
                <w:szCs w:val="21"/>
                <w:highlight w:val="none"/>
                <w:lang w:val="en-US" w:eastAsia="zh-CN"/>
              </w:rPr>
              <w:t>建模表示构件尺寸及位置。</w:t>
            </w:r>
          </w:p>
        </w:tc>
      </w:tr>
      <w:tr w14:paraId="3D78EA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5A44B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1E52A9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6F32A24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宜</w:t>
            </w:r>
            <w:r>
              <w:rPr>
                <w:rFonts w:hint="default" w:ascii="Times New Roman" w:hAnsi="Times New Roman" w:eastAsia="宋体" w:cs="Times New Roman"/>
                <w:sz w:val="21"/>
                <w:szCs w:val="21"/>
                <w:highlight w:val="none"/>
                <w:lang w:val="en-US" w:eastAsia="zh-CN"/>
              </w:rPr>
              <w:t>按照产品的实际尺寸、构件信息建模。</w:t>
            </w:r>
          </w:p>
        </w:tc>
      </w:tr>
      <w:tr w14:paraId="719BB6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414920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通信设备</w:t>
            </w:r>
          </w:p>
        </w:tc>
        <w:tc>
          <w:tcPr>
            <w:tcW w:w="983" w:type="dxa"/>
            <w:tcBorders>
              <w:tl2br w:val="nil"/>
              <w:tr2bl w:val="nil"/>
            </w:tcBorders>
            <w:vAlign w:val="center"/>
          </w:tcPr>
          <w:p w14:paraId="29D0F8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03CE3CD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6D9497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54EDB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6EED8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4795DFC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宜体量化建模表示主体空间占位，如无可视化需求，可以二维表达。</w:t>
            </w:r>
          </w:p>
        </w:tc>
      </w:tr>
      <w:tr w14:paraId="63690E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15A97D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76D70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26A21F99">
            <w:pPr>
              <w:keepNext w:val="0"/>
              <w:keepLines w:val="0"/>
              <w:pageBreakBefore w:val="0"/>
              <w:widowControl w:val="0"/>
              <w:numPr>
                <w:ilvl w:val="0"/>
                <w:numId w:val="8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宜表示构件的几何特征；</w:t>
            </w:r>
          </w:p>
          <w:p w14:paraId="4C77F7EE">
            <w:pPr>
              <w:keepNext w:val="0"/>
              <w:keepLines w:val="0"/>
              <w:pageBreakBefore w:val="0"/>
              <w:widowControl w:val="0"/>
              <w:numPr>
                <w:ilvl w:val="0"/>
                <w:numId w:val="84"/>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宜表示其配件和连接件。</w:t>
            </w:r>
          </w:p>
        </w:tc>
      </w:tr>
      <w:tr w14:paraId="532D61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247FB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06FB0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7E36FD8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宜按照构件的实际规格尺寸建模。</w:t>
            </w:r>
          </w:p>
        </w:tc>
      </w:tr>
      <w:tr w14:paraId="46F27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546899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电气设备</w:t>
            </w:r>
          </w:p>
        </w:tc>
        <w:tc>
          <w:tcPr>
            <w:tcW w:w="983" w:type="dxa"/>
            <w:tcBorders>
              <w:tl2br w:val="nil"/>
              <w:tr2bl w:val="nil"/>
            </w:tcBorders>
            <w:vAlign w:val="center"/>
          </w:tcPr>
          <w:p w14:paraId="694784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29AFA4B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655862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5A6DB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A2CB8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3A0CCF0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应体量化建模表示主体空间占位。</w:t>
            </w:r>
          </w:p>
        </w:tc>
      </w:tr>
      <w:tr w14:paraId="2DA3B3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21697E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78D28A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680DAF22">
            <w:pPr>
              <w:keepNext w:val="0"/>
              <w:keepLines w:val="0"/>
              <w:pageBreakBefore w:val="0"/>
              <w:widowControl w:val="0"/>
              <w:numPr>
                <w:ilvl w:val="0"/>
                <w:numId w:val="8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宜建模详细表达设备外形尺寸及位置，粗略表达其内部构造；</w:t>
            </w:r>
          </w:p>
          <w:p w14:paraId="20F2DFDB">
            <w:pPr>
              <w:keepNext w:val="0"/>
              <w:keepLines w:val="0"/>
              <w:pageBreakBefore w:val="0"/>
              <w:widowControl w:val="0"/>
              <w:numPr>
                <w:ilvl w:val="0"/>
                <w:numId w:val="85"/>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宜建模表示其连接电缆桥架、母线、附属设备或基座等安装位置及尺寸。</w:t>
            </w:r>
          </w:p>
        </w:tc>
      </w:tr>
      <w:tr w14:paraId="7E1D8A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3643A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75FD49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06B3FBC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宜按照产品的实际尺寸建模或采用高精度扫描模型。</w:t>
            </w:r>
          </w:p>
        </w:tc>
      </w:tr>
    </w:tbl>
    <w:p w14:paraId="6E663A69">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 xml:space="preserve">表A-6  </w:t>
      </w:r>
      <w:r>
        <w:rPr>
          <w:rFonts w:hint="default"/>
          <w:b/>
          <w:bCs/>
          <w:sz w:val="21"/>
          <w:szCs w:val="21"/>
          <w:lang w:val="en-US" w:eastAsia="zh-CN"/>
        </w:rPr>
        <w:t>自动化控制仪表的模型单元几何表达精度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36D6BF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5B5B23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787E41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2A782D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4999C4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45A609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仪表管</w:t>
            </w:r>
          </w:p>
        </w:tc>
        <w:tc>
          <w:tcPr>
            <w:tcW w:w="983" w:type="dxa"/>
            <w:tcBorders>
              <w:tl2br w:val="nil"/>
              <w:tr2bl w:val="nil"/>
            </w:tcBorders>
            <w:vAlign w:val="center"/>
          </w:tcPr>
          <w:p w14:paraId="14A724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741E77D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783A90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92F3D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73ADDD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7516599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宜体量化建模表示主体空间占位。</w:t>
            </w:r>
          </w:p>
        </w:tc>
      </w:tr>
      <w:tr w14:paraId="62CD81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D2175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652702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7A3CEDD5">
            <w:pPr>
              <w:keepNext w:val="0"/>
              <w:keepLines w:val="0"/>
              <w:pageBreakBefore w:val="0"/>
              <w:widowControl w:val="0"/>
              <w:numPr>
                <w:ilvl w:val="0"/>
                <w:numId w:val="8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宜按照管线实际材质及规格尺寸建模；</w:t>
            </w:r>
          </w:p>
          <w:p w14:paraId="07D90503">
            <w:pPr>
              <w:keepNext w:val="0"/>
              <w:keepLines w:val="0"/>
              <w:pageBreakBefore w:val="0"/>
              <w:widowControl w:val="0"/>
              <w:numPr>
                <w:ilvl w:val="0"/>
                <w:numId w:val="8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有坡度的管道宜按照实际坡度建模；</w:t>
            </w:r>
          </w:p>
          <w:p w14:paraId="6A34CF89">
            <w:pPr>
              <w:keepNext w:val="0"/>
              <w:keepLines w:val="0"/>
              <w:pageBreakBefore w:val="0"/>
              <w:widowControl w:val="0"/>
              <w:numPr>
                <w:ilvl w:val="0"/>
                <w:numId w:val="8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有保温管道宜按照实际保温材质及厚度建模；</w:t>
            </w:r>
          </w:p>
          <w:p w14:paraId="6EC00E08">
            <w:pPr>
              <w:keepNext w:val="0"/>
              <w:keepLines w:val="0"/>
              <w:pageBreakBefore w:val="0"/>
              <w:widowControl w:val="0"/>
              <w:numPr>
                <w:ilvl w:val="0"/>
                <w:numId w:val="86"/>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宜表示管道支架的几何尺寸。</w:t>
            </w:r>
          </w:p>
        </w:tc>
      </w:tr>
      <w:tr w14:paraId="129CE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4B58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3A9CF8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09F8BE2B">
            <w:pPr>
              <w:keepNext w:val="0"/>
              <w:keepLines w:val="0"/>
              <w:pageBreakBefore w:val="0"/>
              <w:widowControl w:val="0"/>
              <w:numPr>
                <w:ilvl w:val="0"/>
                <w:numId w:val="8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宜按照管线实际材质及规格尺寸建模；</w:t>
            </w:r>
          </w:p>
          <w:p w14:paraId="13E9E46C">
            <w:pPr>
              <w:keepNext w:val="0"/>
              <w:keepLines w:val="0"/>
              <w:pageBreakBefore w:val="0"/>
              <w:widowControl w:val="0"/>
              <w:numPr>
                <w:ilvl w:val="0"/>
                <w:numId w:val="8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管道配件和连接件宜按照其实际材质和规格尺寸建模；</w:t>
            </w:r>
          </w:p>
          <w:p w14:paraId="0FC839EF">
            <w:pPr>
              <w:keepNext w:val="0"/>
              <w:keepLines w:val="0"/>
              <w:pageBreakBefore w:val="0"/>
              <w:widowControl w:val="0"/>
              <w:numPr>
                <w:ilvl w:val="0"/>
                <w:numId w:val="8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有坡度的管道宜按照实际坡度建模；</w:t>
            </w:r>
          </w:p>
          <w:p w14:paraId="3432A8F5">
            <w:pPr>
              <w:keepNext w:val="0"/>
              <w:keepLines w:val="0"/>
              <w:pageBreakBefore w:val="0"/>
              <w:widowControl w:val="0"/>
              <w:numPr>
                <w:ilvl w:val="0"/>
                <w:numId w:val="8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有保温管道宜按照实际保温材质及厚度建模；</w:t>
            </w:r>
          </w:p>
        </w:tc>
      </w:tr>
    </w:tbl>
    <w:p w14:paraId="03AC4A65">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lang w:val="en-US"/>
        </w:rPr>
      </w:pPr>
      <w:r>
        <w:rPr>
          <w:rFonts w:hint="eastAsia"/>
          <w:b/>
          <w:bCs/>
          <w:sz w:val="21"/>
          <w:szCs w:val="21"/>
          <w:lang w:val="en-US" w:eastAsia="zh-CN"/>
        </w:rPr>
        <w:t>续表A-6</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57ED98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tcBorders>
              <w:tl2br w:val="nil"/>
              <w:tr2bl w:val="nil"/>
            </w:tcBorders>
            <w:vAlign w:val="center"/>
          </w:tcPr>
          <w:p w14:paraId="512FCB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仪表管</w:t>
            </w:r>
          </w:p>
        </w:tc>
        <w:tc>
          <w:tcPr>
            <w:tcW w:w="983" w:type="dxa"/>
            <w:tcBorders>
              <w:tl2br w:val="nil"/>
              <w:tr2bl w:val="nil"/>
            </w:tcBorders>
            <w:vAlign w:val="center"/>
          </w:tcPr>
          <w:p w14:paraId="3E49A8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066D98C2">
            <w:pPr>
              <w:keepNext w:val="0"/>
              <w:keepLines w:val="0"/>
              <w:pageBreakBefore w:val="0"/>
              <w:widowControl w:val="0"/>
              <w:numPr>
                <w:ilvl w:val="0"/>
                <w:numId w:val="8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宜按照管道实际安装尺寸进行分节，建出焊口等；</w:t>
            </w:r>
          </w:p>
          <w:p w14:paraId="502C4BA9">
            <w:pPr>
              <w:keepNext w:val="0"/>
              <w:keepLines w:val="0"/>
              <w:pageBreakBefore w:val="0"/>
              <w:widowControl w:val="0"/>
              <w:numPr>
                <w:ilvl w:val="0"/>
                <w:numId w:val="87"/>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按照支架实际尺寸建模。</w:t>
            </w:r>
          </w:p>
        </w:tc>
      </w:tr>
      <w:tr w14:paraId="011F99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61B2A1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w:t>
            </w:r>
          </w:p>
        </w:tc>
        <w:tc>
          <w:tcPr>
            <w:tcW w:w="983" w:type="dxa"/>
            <w:tcBorders>
              <w:tl2br w:val="nil"/>
              <w:tr2bl w:val="nil"/>
            </w:tcBorders>
            <w:vAlign w:val="center"/>
          </w:tcPr>
          <w:p w14:paraId="356D67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678A490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75E38C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A725E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A3044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3A7DF78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宜体量化建模表示主体空间占位。</w:t>
            </w:r>
          </w:p>
        </w:tc>
      </w:tr>
      <w:tr w14:paraId="4CED52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682780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5CFBF0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3C022D78">
            <w:pPr>
              <w:keepNext w:val="0"/>
              <w:keepLines w:val="0"/>
              <w:pageBreakBefore w:val="0"/>
              <w:widowControl w:val="0"/>
              <w:numPr>
                <w:ilvl w:val="0"/>
                <w:numId w:val="8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宜表示构件的几何特征；</w:t>
            </w:r>
          </w:p>
          <w:p w14:paraId="67F5FA8C">
            <w:pPr>
              <w:keepNext w:val="0"/>
              <w:keepLines w:val="0"/>
              <w:pageBreakBefore w:val="0"/>
              <w:widowControl w:val="0"/>
              <w:numPr>
                <w:ilvl w:val="0"/>
                <w:numId w:val="88"/>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宜表达构件的其他附件及其连接件结合方式。</w:t>
            </w:r>
          </w:p>
        </w:tc>
      </w:tr>
      <w:tr w14:paraId="4202D5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01CA1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0570E8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4847221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宜按照构件的实际材质、规格尺寸、连接方式、安装附件等建模。</w:t>
            </w:r>
          </w:p>
        </w:tc>
      </w:tr>
      <w:tr w14:paraId="76082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386A1A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仪表框架</w:t>
            </w:r>
          </w:p>
        </w:tc>
        <w:tc>
          <w:tcPr>
            <w:tcW w:w="983" w:type="dxa"/>
            <w:tcBorders>
              <w:tl2br w:val="nil"/>
              <w:tr2bl w:val="nil"/>
            </w:tcBorders>
            <w:vAlign w:val="center"/>
          </w:tcPr>
          <w:p w14:paraId="5A3413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G1</w:t>
            </w:r>
          </w:p>
        </w:tc>
        <w:tc>
          <w:tcPr>
            <w:tcW w:w="6361" w:type="dxa"/>
            <w:tcBorders>
              <w:tl2br w:val="nil"/>
              <w:tr2bl w:val="nil"/>
            </w:tcBorders>
            <w:vAlign w:val="center"/>
          </w:tcPr>
          <w:p w14:paraId="60122AC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宜以二维图形表示。</w:t>
            </w:r>
          </w:p>
        </w:tc>
      </w:tr>
      <w:tr w14:paraId="61CC30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B4C6B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9763B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G2</w:t>
            </w:r>
          </w:p>
        </w:tc>
        <w:tc>
          <w:tcPr>
            <w:tcW w:w="6361" w:type="dxa"/>
            <w:tcBorders>
              <w:tl2br w:val="nil"/>
              <w:tr2bl w:val="nil"/>
            </w:tcBorders>
            <w:vAlign w:val="center"/>
          </w:tcPr>
          <w:p w14:paraId="5364B14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应体量化建模表示主体空间占位。</w:t>
            </w:r>
          </w:p>
        </w:tc>
      </w:tr>
      <w:tr w14:paraId="76A856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3618C2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28DD15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G3</w:t>
            </w:r>
          </w:p>
        </w:tc>
        <w:tc>
          <w:tcPr>
            <w:tcW w:w="6361" w:type="dxa"/>
            <w:tcBorders>
              <w:tl2br w:val="nil"/>
              <w:tr2bl w:val="nil"/>
            </w:tcBorders>
            <w:vAlign w:val="center"/>
          </w:tcPr>
          <w:p w14:paraId="76A4FAC8">
            <w:pPr>
              <w:keepNext w:val="0"/>
              <w:keepLines w:val="0"/>
              <w:pageBreakBefore w:val="0"/>
              <w:widowControl w:val="0"/>
              <w:numPr>
                <w:ilvl w:val="0"/>
                <w:numId w:val="8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宜建模详细表达设备外形尺寸及位置；</w:t>
            </w:r>
          </w:p>
          <w:p w14:paraId="192CE131">
            <w:pPr>
              <w:keepNext w:val="0"/>
              <w:keepLines w:val="0"/>
              <w:pageBreakBefore w:val="0"/>
              <w:widowControl w:val="0"/>
              <w:numPr>
                <w:ilvl w:val="0"/>
                <w:numId w:val="89"/>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宜建模表示其仪表等安装位置及尺寸。</w:t>
            </w:r>
          </w:p>
        </w:tc>
      </w:tr>
      <w:tr w14:paraId="13AD86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58491F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983" w:type="dxa"/>
            <w:tcBorders>
              <w:tl2br w:val="nil"/>
              <w:tr2bl w:val="nil"/>
            </w:tcBorders>
            <w:vAlign w:val="center"/>
          </w:tcPr>
          <w:p w14:paraId="7FE281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6361" w:type="dxa"/>
            <w:tcBorders>
              <w:tl2br w:val="nil"/>
              <w:tr2bl w:val="nil"/>
            </w:tcBorders>
            <w:vAlign w:val="center"/>
          </w:tcPr>
          <w:p w14:paraId="0839630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宜按照产品的实际尺寸建模或采用高精度扫描模型。</w:t>
            </w:r>
          </w:p>
        </w:tc>
      </w:tr>
    </w:tbl>
    <w:p w14:paraId="58A3AFEA">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 xml:space="preserve">表A-7  </w:t>
      </w:r>
      <w:r>
        <w:rPr>
          <w:rFonts w:hint="default"/>
          <w:b/>
          <w:bCs/>
          <w:sz w:val="21"/>
          <w:szCs w:val="21"/>
          <w:lang w:val="en-US" w:eastAsia="zh-CN"/>
        </w:rPr>
        <w:t>设备的模型单元几何表达精度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983"/>
        <w:gridCol w:w="6361"/>
      </w:tblGrid>
      <w:tr w14:paraId="44260D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178" w:type="dxa"/>
            <w:tcBorders>
              <w:tl2br w:val="nil"/>
              <w:tr2bl w:val="nil"/>
            </w:tcBorders>
            <w:vAlign w:val="center"/>
          </w:tcPr>
          <w:p w14:paraId="6BFA1B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模型单元</w:t>
            </w:r>
          </w:p>
        </w:tc>
        <w:tc>
          <w:tcPr>
            <w:tcW w:w="983" w:type="dxa"/>
            <w:tcBorders>
              <w:tl2br w:val="nil"/>
              <w:tr2bl w:val="nil"/>
            </w:tcBorders>
            <w:vAlign w:val="center"/>
          </w:tcPr>
          <w:p w14:paraId="728E5C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6361" w:type="dxa"/>
            <w:tcBorders>
              <w:tl2br w:val="nil"/>
              <w:tr2bl w:val="nil"/>
            </w:tcBorders>
            <w:vAlign w:val="center"/>
          </w:tcPr>
          <w:p w14:paraId="6BA9E9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几何表达精度要求</w:t>
            </w:r>
          </w:p>
        </w:tc>
      </w:tr>
      <w:tr w14:paraId="7B5B4E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restart"/>
            <w:tcBorders>
              <w:tl2br w:val="nil"/>
              <w:tr2bl w:val="nil"/>
            </w:tcBorders>
            <w:vAlign w:val="center"/>
          </w:tcPr>
          <w:p w14:paraId="521793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设备</w:t>
            </w:r>
          </w:p>
        </w:tc>
        <w:tc>
          <w:tcPr>
            <w:tcW w:w="983" w:type="dxa"/>
            <w:tcBorders>
              <w:tl2br w:val="nil"/>
              <w:tr2bl w:val="nil"/>
            </w:tcBorders>
            <w:vAlign w:val="center"/>
          </w:tcPr>
          <w:p w14:paraId="0AB199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G1</w:t>
            </w:r>
          </w:p>
        </w:tc>
        <w:tc>
          <w:tcPr>
            <w:tcW w:w="6361" w:type="dxa"/>
            <w:tcBorders>
              <w:tl2br w:val="nil"/>
              <w:tr2bl w:val="nil"/>
            </w:tcBorders>
            <w:vAlign w:val="center"/>
          </w:tcPr>
          <w:p w14:paraId="7A28549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宜以二维图形</w:t>
            </w:r>
            <w:r>
              <w:rPr>
                <w:rFonts w:hint="default" w:ascii="Times New Roman" w:hAnsi="Times New Roman" w:eastAsia="宋体" w:cs="Times New Roman"/>
                <w:sz w:val="21"/>
                <w:szCs w:val="21"/>
                <w:highlight w:val="none"/>
                <w:lang w:val="en-US" w:eastAsia="zh-CN"/>
              </w:rPr>
              <w:t>或体量化表达</w:t>
            </w:r>
            <w:r>
              <w:rPr>
                <w:rFonts w:hint="default" w:ascii="Times New Roman" w:hAnsi="Times New Roman" w:eastAsia="宋体" w:cs="Times New Roman"/>
                <w:strike w:val="0"/>
                <w:dstrike w:val="0"/>
                <w:sz w:val="21"/>
                <w:szCs w:val="21"/>
                <w:highlight w:val="none"/>
                <w:lang w:val="en-US" w:eastAsia="zh-CN"/>
              </w:rPr>
              <w:t>。</w:t>
            </w:r>
          </w:p>
        </w:tc>
      </w:tr>
      <w:tr w14:paraId="57E722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73789D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p>
        </w:tc>
        <w:tc>
          <w:tcPr>
            <w:tcW w:w="983" w:type="dxa"/>
            <w:tcBorders>
              <w:tl2br w:val="nil"/>
              <w:tr2bl w:val="nil"/>
            </w:tcBorders>
            <w:vAlign w:val="center"/>
          </w:tcPr>
          <w:p w14:paraId="6F34E5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G2</w:t>
            </w:r>
          </w:p>
        </w:tc>
        <w:tc>
          <w:tcPr>
            <w:tcW w:w="6361" w:type="dxa"/>
            <w:tcBorders>
              <w:tl2br w:val="nil"/>
              <w:tr2bl w:val="nil"/>
            </w:tcBorders>
            <w:vAlign w:val="center"/>
          </w:tcPr>
          <w:p w14:paraId="4271D021">
            <w:pPr>
              <w:keepNext w:val="0"/>
              <w:keepLines w:val="0"/>
              <w:pageBreakBefore w:val="0"/>
              <w:widowControl w:val="0"/>
              <w:numPr>
                <w:ilvl w:val="0"/>
                <w:numId w:val="9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宜表达设备的几何特征；</w:t>
            </w:r>
          </w:p>
          <w:p w14:paraId="6DD4CC9D">
            <w:pPr>
              <w:keepNext w:val="0"/>
              <w:keepLines w:val="0"/>
              <w:pageBreakBefore w:val="0"/>
              <w:widowControl w:val="0"/>
              <w:numPr>
                <w:ilvl w:val="0"/>
                <w:numId w:val="90"/>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z w:val="21"/>
                <w:szCs w:val="21"/>
                <w:highlight w:val="none"/>
                <w:lang w:val="en-US" w:eastAsia="zh-CN"/>
              </w:rPr>
              <w:t>宜表示构件的材质及附件布置。</w:t>
            </w:r>
          </w:p>
        </w:tc>
      </w:tr>
      <w:tr w14:paraId="18FCD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4AF166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p>
        </w:tc>
        <w:tc>
          <w:tcPr>
            <w:tcW w:w="983" w:type="dxa"/>
            <w:tcBorders>
              <w:tl2br w:val="nil"/>
              <w:tr2bl w:val="nil"/>
            </w:tcBorders>
            <w:vAlign w:val="center"/>
          </w:tcPr>
          <w:p w14:paraId="12F90C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G3</w:t>
            </w:r>
          </w:p>
        </w:tc>
        <w:tc>
          <w:tcPr>
            <w:tcW w:w="6361" w:type="dxa"/>
            <w:tcBorders>
              <w:tl2br w:val="nil"/>
              <w:tr2bl w:val="nil"/>
            </w:tcBorders>
            <w:vAlign w:val="center"/>
          </w:tcPr>
          <w:p w14:paraId="296E7370">
            <w:pPr>
              <w:keepNext w:val="0"/>
              <w:keepLines w:val="0"/>
              <w:pageBreakBefore w:val="0"/>
              <w:widowControl w:val="0"/>
              <w:numPr>
                <w:ilvl w:val="0"/>
                <w:numId w:val="8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w:t>
            </w:r>
            <w:r>
              <w:rPr>
                <w:rFonts w:hint="default" w:ascii="Times New Roman" w:hAnsi="Times New Roman" w:eastAsia="宋体" w:cs="Times New Roman"/>
                <w:sz w:val="21"/>
                <w:szCs w:val="21"/>
                <w:highlight w:val="none"/>
                <w:lang w:val="en-US" w:eastAsia="zh-CN"/>
              </w:rPr>
              <w:t>详细表达设备的外形尺寸及位置，粗略表达其内部构造；</w:t>
            </w:r>
          </w:p>
          <w:p w14:paraId="376CD666">
            <w:pPr>
              <w:keepNext w:val="0"/>
              <w:keepLines w:val="0"/>
              <w:pageBreakBefore w:val="0"/>
              <w:widowControl w:val="0"/>
              <w:numPr>
                <w:ilvl w:val="0"/>
                <w:numId w:val="81"/>
              </w:numPr>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z w:val="21"/>
                <w:szCs w:val="21"/>
                <w:highlight w:val="none"/>
                <w:lang w:val="en-US" w:eastAsia="zh-CN"/>
              </w:rPr>
              <w:t>宜表达其连接管道、阀门、管件、附属设备或基座等安装位置及尺寸。</w:t>
            </w:r>
          </w:p>
        </w:tc>
      </w:tr>
      <w:tr w14:paraId="5C71B6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8" w:type="dxa"/>
            <w:vMerge w:val="continue"/>
            <w:tcBorders>
              <w:tl2br w:val="nil"/>
              <w:tr2bl w:val="nil"/>
            </w:tcBorders>
            <w:vAlign w:val="center"/>
          </w:tcPr>
          <w:p w14:paraId="0A5892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p>
        </w:tc>
        <w:tc>
          <w:tcPr>
            <w:tcW w:w="983" w:type="dxa"/>
            <w:tcBorders>
              <w:tl2br w:val="nil"/>
              <w:tr2bl w:val="nil"/>
            </w:tcBorders>
            <w:vAlign w:val="center"/>
          </w:tcPr>
          <w:p w14:paraId="106D45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G4</w:t>
            </w:r>
          </w:p>
        </w:tc>
        <w:tc>
          <w:tcPr>
            <w:tcW w:w="6361" w:type="dxa"/>
            <w:tcBorders>
              <w:tl2br w:val="nil"/>
              <w:tr2bl w:val="nil"/>
            </w:tcBorders>
            <w:vAlign w:val="center"/>
          </w:tcPr>
          <w:p w14:paraId="2BC20B8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trike w:val="0"/>
                <w:dstrike w:val="0"/>
                <w:sz w:val="21"/>
                <w:szCs w:val="21"/>
                <w:highlight w:val="none"/>
                <w:lang w:val="en-US" w:eastAsia="zh-CN"/>
              </w:rPr>
            </w:pPr>
            <w:r>
              <w:rPr>
                <w:rFonts w:hint="default" w:ascii="Times New Roman" w:hAnsi="Times New Roman" w:eastAsia="宋体" w:cs="Times New Roman"/>
                <w:strike w:val="0"/>
                <w:dstrike w:val="0"/>
                <w:sz w:val="21"/>
                <w:szCs w:val="21"/>
                <w:highlight w:val="none"/>
                <w:lang w:val="en-US" w:eastAsia="zh-CN"/>
              </w:rPr>
              <w:t>宜按照产品的实际尺寸建模或采用高精度扫描模型。</w:t>
            </w:r>
          </w:p>
        </w:tc>
      </w:tr>
    </w:tbl>
    <w:p w14:paraId="1FDD3986">
      <w:pPr>
        <w:bidi w:val="0"/>
        <w:rPr>
          <w:rFonts w:hint="default"/>
          <w:lang w:val="en-US" w:eastAsia="zh-CN"/>
        </w:rPr>
      </w:pPr>
    </w:p>
    <w:p w14:paraId="5858CD1B">
      <w:r>
        <w:br w:type="page"/>
      </w:r>
    </w:p>
    <w:p w14:paraId="0472AE36">
      <w:pPr>
        <w:pStyle w:val="2"/>
        <w:numPr>
          <w:ilvl w:val="0"/>
          <w:numId w:val="0"/>
        </w:numPr>
        <w:bidi w:val="0"/>
        <w:ind w:left="0" w:leftChars="0" w:right="0" w:rightChars="0" w:firstLine="0" w:firstLineChars="0"/>
        <w:jc w:val="center"/>
        <w:rPr>
          <w:rFonts w:hint="default"/>
          <w:lang w:val="en-US" w:eastAsia="zh-CN"/>
        </w:rPr>
      </w:pPr>
      <w:bookmarkStart w:id="169" w:name="_Toc26019"/>
      <w:bookmarkStart w:id="170" w:name="_Toc18626"/>
      <w:bookmarkStart w:id="171" w:name="_Toc21700"/>
      <w:bookmarkStart w:id="172" w:name="_Toc25210"/>
      <w:bookmarkStart w:id="173" w:name="_Toc7239"/>
      <w:bookmarkStart w:id="174" w:name="_Toc19771"/>
      <w:r>
        <w:rPr>
          <w:rFonts w:hint="eastAsia"/>
          <w:lang w:val="en-US" w:eastAsia="zh-CN"/>
        </w:rPr>
        <w:t>附录B  模型单元信息深度</w:t>
      </w:r>
      <w:bookmarkEnd w:id="169"/>
      <w:bookmarkEnd w:id="170"/>
      <w:bookmarkEnd w:id="171"/>
      <w:bookmarkEnd w:id="172"/>
      <w:bookmarkEnd w:id="173"/>
      <w:bookmarkEnd w:id="174"/>
    </w:p>
    <w:p w14:paraId="7082BFAE">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表B  模型单元信息深度</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061"/>
        <w:gridCol w:w="2387"/>
        <w:gridCol w:w="3691"/>
      </w:tblGrid>
      <w:tr w14:paraId="1E436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383" w:type="dxa"/>
            <w:tcBorders>
              <w:tl2br w:val="nil"/>
              <w:tr2bl w:val="nil"/>
            </w:tcBorders>
            <w:vAlign w:val="center"/>
          </w:tcPr>
          <w:p w14:paraId="795E06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信息深度</w:t>
            </w:r>
          </w:p>
        </w:tc>
        <w:tc>
          <w:tcPr>
            <w:tcW w:w="1061" w:type="dxa"/>
            <w:tcBorders>
              <w:tl2br w:val="nil"/>
              <w:tr2bl w:val="nil"/>
            </w:tcBorders>
            <w:vAlign w:val="center"/>
          </w:tcPr>
          <w:p w14:paraId="553BBF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属性分类</w:t>
            </w:r>
          </w:p>
        </w:tc>
        <w:tc>
          <w:tcPr>
            <w:tcW w:w="2387" w:type="dxa"/>
            <w:tcBorders>
              <w:tl2br w:val="nil"/>
              <w:tr2bl w:val="nil"/>
            </w:tcBorders>
            <w:vAlign w:val="center"/>
          </w:tcPr>
          <w:p w14:paraId="0CFC13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常见属性组</w:t>
            </w:r>
          </w:p>
        </w:tc>
        <w:tc>
          <w:tcPr>
            <w:tcW w:w="3691" w:type="dxa"/>
            <w:tcBorders>
              <w:tl2br w:val="nil"/>
              <w:tr2bl w:val="nil"/>
            </w:tcBorders>
            <w:vAlign w:val="center"/>
          </w:tcPr>
          <w:p w14:paraId="7D7D08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宜包含的属性信息</w:t>
            </w:r>
          </w:p>
        </w:tc>
      </w:tr>
      <w:tr w14:paraId="327627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restart"/>
            <w:tcBorders>
              <w:tl2br w:val="nil"/>
              <w:tr2bl w:val="nil"/>
            </w:tcBorders>
            <w:vAlign w:val="center"/>
          </w:tcPr>
          <w:p w14:paraId="264B68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N1</w:t>
            </w:r>
          </w:p>
        </w:tc>
        <w:tc>
          <w:tcPr>
            <w:tcW w:w="1061" w:type="dxa"/>
            <w:vMerge w:val="restart"/>
            <w:tcBorders>
              <w:tl2br w:val="nil"/>
              <w:tr2bl w:val="nil"/>
            </w:tcBorders>
            <w:vAlign w:val="center"/>
          </w:tcPr>
          <w:p w14:paraId="00870E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项目信息</w:t>
            </w:r>
          </w:p>
        </w:tc>
        <w:tc>
          <w:tcPr>
            <w:tcW w:w="2387" w:type="dxa"/>
            <w:tcBorders>
              <w:tl2br w:val="nil"/>
              <w:tr2bl w:val="nil"/>
            </w:tcBorders>
            <w:vAlign w:val="center"/>
          </w:tcPr>
          <w:p w14:paraId="2E7793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项目标识</w:t>
            </w:r>
          </w:p>
        </w:tc>
        <w:tc>
          <w:tcPr>
            <w:tcW w:w="3691" w:type="dxa"/>
            <w:tcBorders>
              <w:tl2br w:val="nil"/>
              <w:tr2bl w:val="nil"/>
            </w:tcBorders>
            <w:vAlign w:val="center"/>
          </w:tcPr>
          <w:p w14:paraId="3A0899A6">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项目名称、编号、简称等</w:t>
            </w:r>
          </w:p>
        </w:tc>
      </w:tr>
      <w:tr w14:paraId="5163A8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203C5A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430E72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5BE694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建设说明</w:t>
            </w:r>
          </w:p>
        </w:tc>
        <w:tc>
          <w:tcPr>
            <w:tcW w:w="3691" w:type="dxa"/>
            <w:tcBorders>
              <w:tl2br w:val="nil"/>
              <w:tr2bl w:val="nil"/>
            </w:tcBorders>
            <w:vAlign w:val="center"/>
          </w:tcPr>
          <w:p w14:paraId="026C7C78">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地点、阶段、自然条件、建设依据、坐标、采用的坐标体系、高程基准等</w:t>
            </w:r>
          </w:p>
        </w:tc>
      </w:tr>
      <w:tr w14:paraId="4F418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353B05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195C94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512ABA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建筑类别或等级</w:t>
            </w:r>
          </w:p>
        </w:tc>
        <w:tc>
          <w:tcPr>
            <w:tcW w:w="3691" w:type="dxa"/>
            <w:tcBorders>
              <w:tl2br w:val="nil"/>
              <w:tr2bl w:val="nil"/>
            </w:tcBorders>
            <w:vAlign w:val="center"/>
          </w:tcPr>
          <w:p w14:paraId="78BDB3A3">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建筑类别、等级、消防等级、防护等级等</w:t>
            </w:r>
          </w:p>
        </w:tc>
      </w:tr>
      <w:tr w14:paraId="1244F6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397DEF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093BBE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32BFE4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设计说明</w:t>
            </w:r>
          </w:p>
        </w:tc>
        <w:tc>
          <w:tcPr>
            <w:tcW w:w="3691" w:type="dxa"/>
            <w:tcBorders>
              <w:tl2br w:val="nil"/>
              <w:tr2bl w:val="nil"/>
            </w:tcBorders>
            <w:vAlign w:val="center"/>
          </w:tcPr>
          <w:p w14:paraId="7E6A9402">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各类设计说明</w:t>
            </w:r>
          </w:p>
        </w:tc>
      </w:tr>
      <w:tr w14:paraId="5FCD02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1FE9B7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4AA3AA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34FC8D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技术经济指标</w:t>
            </w:r>
          </w:p>
        </w:tc>
        <w:tc>
          <w:tcPr>
            <w:tcW w:w="3691" w:type="dxa"/>
            <w:tcBorders>
              <w:tl2br w:val="nil"/>
              <w:tr2bl w:val="nil"/>
            </w:tcBorders>
            <w:vAlign w:val="center"/>
          </w:tcPr>
          <w:p w14:paraId="3F05971B">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各类项目指标</w:t>
            </w:r>
          </w:p>
        </w:tc>
      </w:tr>
      <w:tr w14:paraId="165F01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214D81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1B0972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2A701F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建设单位信息</w:t>
            </w:r>
          </w:p>
        </w:tc>
        <w:tc>
          <w:tcPr>
            <w:tcW w:w="3691" w:type="dxa"/>
            <w:tcBorders>
              <w:tl2br w:val="nil"/>
              <w:tr2bl w:val="nil"/>
            </w:tcBorders>
            <w:vAlign w:val="center"/>
          </w:tcPr>
          <w:p w14:paraId="1BBFE299">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名称、地址、联系方式等</w:t>
            </w:r>
          </w:p>
        </w:tc>
      </w:tr>
      <w:tr w14:paraId="06EF83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27CFF1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18391A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4021F8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建设参与方信息</w:t>
            </w:r>
          </w:p>
        </w:tc>
        <w:tc>
          <w:tcPr>
            <w:tcW w:w="3691" w:type="dxa"/>
            <w:tcBorders>
              <w:tl2br w:val="nil"/>
              <w:tr2bl w:val="nil"/>
            </w:tcBorders>
            <w:vAlign w:val="center"/>
          </w:tcPr>
          <w:p w14:paraId="791ADF29">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名称、地址、联系方式等</w:t>
            </w:r>
          </w:p>
        </w:tc>
      </w:tr>
      <w:tr w14:paraId="59B56C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316C30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restart"/>
            <w:tcBorders>
              <w:tl2br w:val="nil"/>
              <w:tr2bl w:val="nil"/>
            </w:tcBorders>
            <w:vAlign w:val="center"/>
          </w:tcPr>
          <w:p w14:paraId="6C0E34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身份信息</w:t>
            </w:r>
          </w:p>
        </w:tc>
        <w:tc>
          <w:tcPr>
            <w:tcW w:w="2387" w:type="dxa"/>
            <w:tcBorders>
              <w:tl2br w:val="nil"/>
              <w:tr2bl w:val="nil"/>
            </w:tcBorders>
            <w:vAlign w:val="center"/>
          </w:tcPr>
          <w:p w14:paraId="6E2895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基本描述</w:t>
            </w:r>
          </w:p>
        </w:tc>
        <w:tc>
          <w:tcPr>
            <w:tcW w:w="3691" w:type="dxa"/>
            <w:tcBorders>
              <w:tl2br w:val="nil"/>
              <w:tr2bl w:val="nil"/>
            </w:tcBorders>
            <w:vAlign w:val="center"/>
          </w:tcPr>
          <w:p w14:paraId="1D973FEB">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名称、编码、类型、功能说明</w:t>
            </w:r>
          </w:p>
        </w:tc>
      </w:tr>
      <w:tr w14:paraId="1C2B54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7FA553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0DEE9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0AC2B4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编码信息</w:t>
            </w:r>
          </w:p>
        </w:tc>
        <w:tc>
          <w:tcPr>
            <w:tcW w:w="3691" w:type="dxa"/>
            <w:tcBorders>
              <w:tl2br w:val="nil"/>
              <w:tr2bl w:val="nil"/>
            </w:tcBorders>
            <w:vAlign w:val="center"/>
          </w:tcPr>
          <w:p w14:paraId="57855161">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编码、编码执行标准等</w:t>
            </w:r>
          </w:p>
        </w:tc>
      </w:tr>
      <w:tr w14:paraId="2166E0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4FB646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restart"/>
            <w:tcBorders>
              <w:tl2br w:val="nil"/>
              <w:tr2bl w:val="nil"/>
            </w:tcBorders>
            <w:vAlign w:val="center"/>
          </w:tcPr>
          <w:p w14:paraId="0E6239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定位信息</w:t>
            </w:r>
          </w:p>
        </w:tc>
        <w:tc>
          <w:tcPr>
            <w:tcW w:w="2387" w:type="dxa"/>
            <w:tcBorders>
              <w:tl2br w:val="nil"/>
              <w:tr2bl w:val="nil"/>
            </w:tcBorders>
            <w:vAlign w:val="center"/>
          </w:tcPr>
          <w:p w14:paraId="2AB17A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项目内部定位</w:t>
            </w:r>
          </w:p>
        </w:tc>
        <w:tc>
          <w:tcPr>
            <w:tcW w:w="3691" w:type="dxa"/>
            <w:tcBorders>
              <w:tl2br w:val="nil"/>
              <w:tr2bl w:val="nil"/>
            </w:tcBorders>
            <w:vAlign w:val="center"/>
          </w:tcPr>
          <w:p w14:paraId="10043FE2">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所属的地块、建筑、楼层空间名称及其编号、编码</w:t>
            </w:r>
          </w:p>
        </w:tc>
      </w:tr>
      <w:tr w14:paraId="1BD177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72D16B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3D9A37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2EBF16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坐标定位</w:t>
            </w:r>
          </w:p>
        </w:tc>
        <w:tc>
          <w:tcPr>
            <w:tcW w:w="3691" w:type="dxa"/>
            <w:tcBorders>
              <w:tl2br w:val="nil"/>
              <w:tr2bl w:val="nil"/>
            </w:tcBorders>
            <w:vAlign w:val="center"/>
          </w:tcPr>
          <w:p w14:paraId="791017C6">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可按照平面坐标系统或地理坐标系统或投影坐标系统分项描述</w:t>
            </w:r>
          </w:p>
        </w:tc>
      </w:tr>
      <w:tr w14:paraId="04E17D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6DF9A4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192C1D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1AA216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占位尺寸</w:t>
            </w:r>
          </w:p>
        </w:tc>
        <w:tc>
          <w:tcPr>
            <w:tcW w:w="3691" w:type="dxa"/>
            <w:tcBorders>
              <w:tl2br w:val="nil"/>
              <w:tr2bl w:val="nil"/>
            </w:tcBorders>
            <w:vAlign w:val="center"/>
          </w:tcPr>
          <w:p w14:paraId="4747B3C5">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长度、宽度、高、厚度、深度等</w:t>
            </w:r>
          </w:p>
        </w:tc>
      </w:tr>
      <w:tr w14:paraId="485172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restart"/>
            <w:tcBorders>
              <w:tl2br w:val="nil"/>
              <w:tr2bl w:val="nil"/>
            </w:tcBorders>
            <w:vAlign w:val="center"/>
          </w:tcPr>
          <w:p w14:paraId="380F6E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N2</w:t>
            </w:r>
          </w:p>
        </w:tc>
        <w:tc>
          <w:tcPr>
            <w:tcW w:w="1061" w:type="dxa"/>
            <w:vMerge w:val="restart"/>
            <w:tcBorders>
              <w:tl2br w:val="nil"/>
              <w:tr2bl w:val="nil"/>
            </w:tcBorders>
            <w:vAlign w:val="center"/>
          </w:tcPr>
          <w:p w14:paraId="00956C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系统信息</w:t>
            </w:r>
          </w:p>
        </w:tc>
        <w:tc>
          <w:tcPr>
            <w:tcW w:w="2387" w:type="dxa"/>
            <w:tcBorders>
              <w:tl2br w:val="nil"/>
              <w:tr2bl w:val="nil"/>
            </w:tcBorders>
            <w:vAlign w:val="center"/>
          </w:tcPr>
          <w:p w14:paraId="05DC0D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系统分类</w:t>
            </w:r>
          </w:p>
        </w:tc>
        <w:tc>
          <w:tcPr>
            <w:tcW w:w="3691" w:type="dxa"/>
            <w:tcBorders>
              <w:tl2br w:val="nil"/>
              <w:tr2bl w:val="nil"/>
            </w:tcBorders>
            <w:vAlign w:val="center"/>
          </w:tcPr>
          <w:p w14:paraId="3956F84D">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系统分类名称</w:t>
            </w:r>
          </w:p>
        </w:tc>
      </w:tr>
      <w:tr w14:paraId="614121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2628E5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01B57C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35C538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关联关系</w:t>
            </w:r>
          </w:p>
        </w:tc>
        <w:tc>
          <w:tcPr>
            <w:tcW w:w="3691" w:type="dxa"/>
            <w:tcBorders>
              <w:tl2br w:val="nil"/>
              <w:tr2bl w:val="nil"/>
            </w:tcBorders>
            <w:vAlign w:val="center"/>
          </w:tcPr>
          <w:p w14:paraId="27CE1B25">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关联模型单元的名称、编号、编码以及关联关系类型</w:t>
            </w:r>
          </w:p>
        </w:tc>
      </w:tr>
      <w:tr w14:paraId="18B799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restart"/>
            <w:tcBorders>
              <w:tl2br w:val="nil"/>
              <w:tr2bl w:val="nil"/>
            </w:tcBorders>
            <w:vAlign w:val="center"/>
          </w:tcPr>
          <w:p w14:paraId="62C99D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N3</w:t>
            </w:r>
          </w:p>
        </w:tc>
        <w:tc>
          <w:tcPr>
            <w:tcW w:w="1061" w:type="dxa"/>
            <w:vMerge w:val="restart"/>
            <w:tcBorders>
              <w:tl2br w:val="nil"/>
              <w:tr2bl w:val="nil"/>
            </w:tcBorders>
            <w:vAlign w:val="center"/>
          </w:tcPr>
          <w:p w14:paraId="6741D5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技术信息</w:t>
            </w:r>
          </w:p>
        </w:tc>
        <w:tc>
          <w:tcPr>
            <w:tcW w:w="2387" w:type="dxa"/>
            <w:tcBorders>
              <w:tl2br w:val="nil"/>
              <w:tr2bl w:val="nil"/>
            </w:tcBorders>
            <w:vAlign w:val="center"/>
          </w:tcPr>
          <w:p w14:paraId="5E7FBD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构造尺寸</w:t>
            </w:r>
          </w:p>
        </w:tc>
        <w:tc>
          <w:tcPr>
            <w:tcW w:w="3691" w:type="dxa"/>
            <w:tcBorders>
              <w:tl2br w:val="nil"/>
              <w:tr2bl w:val="nil"/>
            </w:tcBorders>
            <w:vAlign w:val="center"/>
          </w:tcPr>
          <w:p w14:paraId="14787132">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长度、宽度、高度、厚度、深度等主要方向上特征</w:t>
            </w:r>
          </w:p>
        </w:tc>
      </w:tr>
      <w:tr w14:paraId="110FD0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487DFA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3238A8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68F24A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组件构成</w:t>
            </w:r>
          </w:p>
        </w:tc>
        <w:tc>
          <w:tcPr>
            <w:tcW w:w="3691" w:type="dxa"/>
            <w:tcBorders>
              <w:tl2br w:val="nil"/>
              <w:tr2bl w:val="nil"/>
            </w:tcBorders>
            <w:vAlign w:val="center"/>
          </w:tcPr>
          <w:p w14:paraId="1F08DD8E">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主要组件名称、材质、尺寸等属性</w:t>
            </w:r>
          </w:p>
        </w:tc>
      </w:tr>
      <w:tr w14:paraId="03147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5779F7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250131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75E116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设计参数</w:t>
            </w:r>
          </w:p>
        </w:tc>
        <w:tc>
          <w:tcPr>
            <w:tcW w:w="3691" w:type="dxa"/>
            <w:tcBorders>
              <w:tl2br w:val="nil"/>
              <w:tr2bl w:val="nil"/>
            </w:tcBorders>
            <w:vAlign w:val="center"/>
          </w:tcPr>
          <w:p w14:paraId="28561424">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系统性能、产品设计性能</w:t>
            </w:r>
          </w:p>
        </w:tc>
      </w:tr>
      <w:tr w14:paraId="4B75CE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6318A3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2B64A6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4099EA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技术要求</w:t>
            </w:r>
          </w:p>
        </w:tc>
        <w:tc>
          <w:tcPr>
            <w:tcW w:w="3691" w:type="dxa"/>
            <w:tcBorders>
              <w:tl2br w:val="nil"/>
              <w:tr2bl w:val="nil"/>
            </w:tcBorders>
            <w:vAlign w:val="center"/>
          </w:tcPr>
          <w:p w14:paraId="75529F28">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材料要求、施工要求、安装要求等</w:t>
            </w:r>
          </w:p>
        </w:tc>
      </w:tr>
      <w:tr w14:paraId="17AFF7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21399B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restart"/>
            <w:tcBorders>
              <w:tl2br w:val="nil"/>
              <w:tr2bl w:val="nil"/>
            </w:tcBorders>
            <w:vAlign w:val="center"/>
          </w:tcPr>
          <w:p w14:paraId="306FAD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生产信息</w:t>
            </w:r>
          </w:p>
        </w:tc>
        <w:tc>
          <w:tcPr>
            <w:tcW w:w="2387" w:type="dxa"/>
            <w:tcBorders>
              <w:tl2br w:val="nil"/>
              <w:tr2bl w:val="nil"/>
            </w:tcBorders>
            <w:vAlign w:val="center"/>
          </w:tcPr>
          <w:p w14:paraId="741250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产品通用基础数据</w:t>
            </w:r>
          </w:p>
        </w:tc>
        <w:tc>
          <w:tcPr>
            <w:tcW w:w="3691" w:type="dxa"/>
            <w:tcBorders>
              <w:tl2br w:val="nil"/>
              <w:tr2bl w:val="nil"/>
            </w:tcBorders>
            <w:vAlign w:val="center"/>
          </w:tcPr>
          <w:p w14:paraId="0D22DDC0">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应符合现行行业标准《建筑产品信息系统基础数据规范》JGJ/T236的规定</w:t>
            </w:r>
          </w:p>
        </w:tc>
      </w:tr>
      <w:tr w14:paraId="0A4866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39166B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498206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0674B4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产品专用基础数据</w:t>
            </w:r>
          </w:p>
        </w:tc>
        <w:tc>
          <w:tcPr>
            <w:tcW w:w="3691" w:type="dxa"/>
            <w:tcBorders>
              <w:tl2br w:val="nil"/>
              <w:tr2bl w:val="nil"/>
            </w:tcBorders>
            <w:vAlign w:val="center"/>
          </w:tcPr>
          <w:p w14:paraId="78C86E8A">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应符合现行行业标准《建筑产品信息系统基础数据规范》JGJ/T236的规定</w:t>
            </w:r>
          </w:p>
        </w:tc>
      </w:tr>
      <w:tr w14:paraId="4BFB85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restart"/>
            <w:tcBorders>
              <w:tl2br w:val="nil"/>
              <w:tr2bl w:val="nil"/>
            </w:tcBorders>
            <w:vAlign w:val="center"/>
          </w:tcPr>
          <w:p w14:paraId="43D332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N4</w:t>
            </w:r>
          </w:p>
        </w:tc>
        <w:tc>
          <w:tcPr>
            <w:tcW w:w="1061" w:type="dxa"/>
            <w:vMerge w:val="restart"/>
            <w:tcBorders>
              <w:tl2br w:val="nil"/>
              <w:tr2bl w:val="nil"/>
            </w:tcBorders>
            <w:vAlign w:val="center"/>
          </w:tcPr>
          <w:p w14:paraId="27D3AE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资产信息</w:t>
            </w:r>
          </w:p>
        </w:tc>
        <w:tc>
          <w:tcPr>
            <w:tcW w:w="2387" w:type="dxa"/>
            <w:tcBorders>
              <w:tl2br w:val="nil"/>
              <w:tr2bl w:val="nil"/>
            </w:tcBorders>
            <w:vAlign w:val="center"/>
          </w:tcPr>
          <w:p w14:paraId="5F54B9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资产登记</w:t>
            </w:r>
          </w:p>
        </w:tc>
        <w:tc>
          <w:tcPr>
            <w:tcW w:w="3691" w:type="dxa"/>
            <w:tcBorders>
              <w:tl2br w:val="nil"/>
              <w:tr2bl w:val="nil"/>
            </w:tcBorders>
            <w:vAlign w:val="center"/>
          </w:tcPr>
          <w:p w14:paraId="071BCA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14:paraId="7707AA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7271FD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16E11C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40ED16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资产管理</w:t>
            </w:r>
          </w:p>
        </w:tc>
        <w:tc>
          <w:tcPr>
            <w:tcW w:w="3691" w:type="dxa"/>
            <w:tcBorders>
              <w:tl2br w:val="nil"/>
              <w:tr2bl w:val="nil"/>
            </w:tcBorders>
            <w:vAlign w:val="center"/>
          </w:tcPr>
          <w:p w14:paraId="13EB08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14:paraId="5195E9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394D25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restart"/>
            <w:tcBorders>
              <w:tl2br w:val="nil"/>
              <w:tr2bl w:val="nil"/>
            </w:tcBorders>
            <w:vAlign w:val="center"/>
          </w:tcPr>
          <w:p w14:paraId="55AA6C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维护信息</w:t>
            </w:r>
          </w:p>
        </w:tc>
        <w:tc>
          <w:tcPr>
            <w:tcW w:w="2387" w:type="dxa"/>
            <w:tcBorders>
              <w:tl2br w:val="nil"/>
              <w:tr2bl w:val="nil"/>
            </w:tcBorders>
            <w:vAlign w:val="center"/>
          </w:tcPr>
          <w:p w14:paraId="5E27E5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巡检信息</w:t>
            </w:r>
          </w:p>
        </w:tc>
        <w:tc>
          <w:tcPr>
            <w:tcW w:w="3691" w:type="dxa"/>
            <w:tcBorders>
              <w:tl2br w:val="nil"/>
              <w:tr2bl w:val="nil"/>
            </w:tcBorders>
            <w:vAlign w:val="center"/>
          </w:tcPr>
          <w:p w14:paraId="512A84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14:paraId="749FCB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570D84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63E9F6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01DE27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维修信息</w:t>
            </w:r>
          </w:p>
        </w:tc>
        <w:tc>
          <w:tcPr>
            <w:tcW w:w="3691" w:type="dxa"/>
            <w:tcBorders>
              <w:tl2br w:val="nil"/>
              <w:tr2bl w:val="nil"/>
            </w:tcBorders>
            <w:vAlign w:val="center"/>
          </w:tcPr>
          <w:p w14:paraId="1EF971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14:paraId="02A2B6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020BF9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403A46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35ECB9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维护预测</w:t>
            </w:r>
          </w:p>
        </w:tc>
        <w:tc>
          <w:tcPr>
            <w:tcW w:w="3691" w:type="dxa"/>
            <w:tcBorders>
              <w:tl2br w:val="nil"/>
              <w:tr2bl w:val="nil"/>
            </w:tcBorders>
            <w:vAlign w:val="center"/>
          </w:tcPr>
          <w:p w14:paraId="281FCB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r w14:paraId="4F992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83" w:type="dxa"/>
            <w:vMerge w:val="continue"/>
            <w:tcBorders>
              <w:tl2br w:val="nil"/>
              <w:tr2bl w:val="nil"/>
            </w:tcBorders>
            <w:vAlign w:val="center"/>
          </w:tcPr>
          <w:p w14:paraId="78DA3B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061" w:type="dxa"/>
            <w:vMerge w:val="continue"/>
            <w:tcBorders>
              <w:tl2br w:val="nil"/>
              <w:tr2bl w:val="nil"/>
            </w:tcBorders>
            <w:vAlign w:val="center"/>
          </w:tcPr>
          <w:p w14:paraId="202967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2387" w:type="dxa"/>
            <w:tcBorders>
              <w:tl2br w:val="nil"/>
              <w:tr2bl w:val="nil"/>
            </w:tcBorders>
            <w:vAlign w:val="center"/>
          </w:tcPr>
          <w:p w14:paraId="42C1C5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备品备件</w:t>
            </w:r>
          </w:p>
        </w:tc>
        <w:tc>
          <w:tcPr>
            <w:tcW w:w="3691" w:type="dxa"/>
            <w:tcBorders>
              <w:tl2br w:val="nil"/>
              <w:tr2bl w:val="nil"/>
            </w:tcBorders>
            <w:vAlign w:val="center"/>
          </w:tcPr>
          <w:p w14:paraId="37D90C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r>
    </w:tbl>
    <w:p w14:paraId="5E6D8F8B"/>
    <w:p w14:paraId="5A17C40A">
      <w:r>
        <w:br w:type="page"/>
      </w:r>
    </w:p>
    <w:p w14:paraId="4C9D7BD3">
      <w:pPr>
        <w:pStyle w:val="2"/>
        <w:numPr>
          <w:ilvl w:val="0"/>
          <w:numId w:val="0"/>
        </w:numPr>
        <w:bidi w:val="0"/>
        <w:ind w:left="0" w:leftChars="0" w:right="0" w:rightChars="0" w:firstLine="0" w:firstLineChars="0"/>
        <w:jc w:val="center"/>
        <w:rPr>
          <w:rFonts w:hint="default"/>
          <w:lang w:val="en-US" w:eastAsia="zh-CN"/>
        </w:rPr>
      </w:pPr>
      <w:bookmarkStart w:id="175" w:name="_Toc10810"/>
      <w:bookmarkStart w:id="176" w:name="_Toc22886"/>
      <w:bookmarkStart w:id="177" w:name="_Toc23934"/>
      <w:bookmarkStart w:id="178" w:name="_Toc2089"/>
      <w:bookmarkStart w:id="179" w:name="_Toc27276"/>
      <w:bookmarkStart w:id="180" w:name="_Toc2770"/>
      <w:r>
        <w:rPr>
          <w:rFonts w:hint="eastAsia"/>
          <w:lang w:val="en-US" w:eastAsia="zh-CN"/>
        </w:rPr>
        <w:t xml:space="preserve">附录C  </w:t>
      </w:r>
      <w:bookmarkEnd w:id="175"/>
      <w:bookmarkEnd w:id="176"/>
      <w:bookmarkEnd w:id="177"/>
      <w:r>
        <w:rPr>
          <w:rFonts w:hint="eastAsia"/>
          <w:lang w:val="en-US" w:eastAsia="zh-CN"/>
        </w:rPr>
        <w:t>深化设计模型和施工过程模型的精细度</w:t>
      </w:r>
      <w:bookmarkEnd w:id="178"/>
      <w:bookmarkEnd w:id="179"/>
      <w:bookmarkEnd w:id="180"/>
    </w:p>
    <w:p w14:paraId="212AF8E9">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表C  深化设计模型和施工过程模型的精细度</w:t>
      </w:r>
    </w:p>
    <w:tbl>
      <w:tblPr>
        <w:tblStyle w:val="28"/>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929"/>
        <w:gridCol w:w="2001"/>
        <w:gridCol w:w="1350"/>
        <w:gridCol w:w="1350"/>
        <w:gridCol w:w="1"/>
        <w:gridCol w:w="1349"/>
        <w:gridCol w:w="1353"/>
      </w:tblGrid>
      <w:tr w14:paraId="7CAA70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557" w:type="pct"/>
            <w:vMerge w:val="restart"/>
            <w:tcBorders>
              <w:tl2br w:val="nil"/>
              <w:tr2bl w:val="nil"/>
            </w:tcBorders>
            <w:shd w:val="clear" w:color="auto" w:fill="auto"/>
            <w:noWrap/>
            <w:tcMar>
              <w:top w:w="15" w:type="dxa"/>
              <w:left w:w="15" w:type="dxa"/>
              <w:right w:w="15" w:type="dxa"/>
            </w:tcMar>
            <w:vAlign w:val="center"/>
          </w:tcPr>
          <w:p w14:paraId="7D2996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专业</w:t>
            </w:r>
          </w:p>
        </w:tc>
        <w:tc>
          <w:tcPr>
            <w:tcW w:w="1200" w:type="pct"/>
            <w:vMerge w:val="restart"/>
            <w:tcBorders>
              <w:tl2br w:val="nil"/>
              <w:tr2bl w:val="nil"/>
            </w:tcBorders>
            <w:shd w:val="clear" w:color="auto" w:fill="auto"/>
            <w:tcMar>
              <w:top w:w="15" w:type="dxa"/>
              <w:left w:w="15" w:type="dxa"/>
              <w:right w:w="15" w:type="dxa"/>
            </w:tcMar>
            <w:vAlign w:val="center"/>
          </w:tcPr>
          <w:p w14:paraId="3F02AF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工程对象</w:t>
            </w:r>
          </w:p>
        </w:tc>
        <w:tc>
          <w:tcPr>
            <w:tcW w:w="1620" w:type="pct"/>
            <w:gridSpan w:val="3"/>
            <w:tcBorders>
              <w:tl2br w:val="nil"/>
              <w:tr2bl w:val="nil"/>
            </w:tcBorders>
            <w:shd w:val="clear" w:color="auto" w:fill="auto"/>
            <w:noWrap/>
            <w:tcMar>
              <w:top w:w="15" w:type="dxa"/>
              <w:left w:w="15" w:type="dxa"/>
              <w:right w:w="15" w:type="dxa"/>
            </w:tcMar>
            <w:vAlign w:val="center"/>
          </w:tcPr>
          <w:p w14:paraId="55EABA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深化设计模型精细度</w:t>
            </w:r>
          </w:p>
        </w:tc>
        <w:tc>
          <w:tcPr>
            <w:tcW w:w="1621" w:type="pct"/>
            <w:gridSpan w:val="2"/>
            <w:tcBorders>
              <w:tl2br w:val="nil"/>
              <w:tr2bl w:val="nil"/>
            </w:tcBorders>
            <w:shd w:val="clear" w:color="auto" w:fill="auto"/>
            <w:noWrap/>
            <w:tcMar>
              <w:top w:w="15" w:type="dxa"/>
              <w:left w:w="15" w:type="dxa"/>
              <w:right w:w="15" w:type="dxa"/>
            </w:tcMar>
            <w:vAlign w:val="center"/>
          </w:tcPr>
          <w:p w14:paraId="0BC2ED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施工过程模型精细度</w:t>
            </w:r>
          </w:p>
        </w:tc>
      </w:tr>
      <w:tr w14:paraId="1E797C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4B100C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vMerge w:val="continue"/>
            <w:tcBorders>
              <w:tl2br w:val="nil"/>
              <w:tr2bl w:val="nil"/>
            </w:tcBorders>
            <w:shd w:val="clear" w:color="auto" w:fill="auto"/>
            <w:tcMar>
              <w:top w:w="15" w:type="dxa"/>
              <w:left w:w="15" w:type="dxa"/>
              <w:right w:w="15" w:type="dxa"/>
            </w:tcMar>
            <w:vAlign w:val="center"/>
          </w:tcPr>
          <w:p w14:paraId="7A8FE4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10" w:type="pct"/>
            <w:tcBorders>
              <w:tl2br w:val="nil"/>
              <w:tr2bl w:val="nil"/>
            </w:tcBorders>
            <w:shd w:val="clear" w:color="auto" w:fill="auto"/>
            <w:noWrap/>
            <w:tcMar>
              <w:top w:w="15" w:type="dxa"/>
              <w:left w:w="15" w:type="dxa"/>
              <w:right w:w="15" w:type="dxa"/>
            </w:tcMar>
            <w:vAlign w:val="center"/>
          </w:tcPr>
          <w:p w14:paraId="139FFC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810" w:type="pct"/>
            <w:tcBorders>
              <w:tl2br w:val="nil"/>
              <w:tr2bl w:val="nil"/>
            </w:tcBorders>
            <w:shd w:val="clear" w:color="auto" w:fill="auto"/>
            <w:noWrap/>
            <w:tcMar>
              <w:top w:w="15" w:type="dxa"/>
              <w:left w:w="15" w:type="dxa"/>
              <w:right w:w="15" w:type="dxa"/>
            </w:tcMar>
            <w:vAlign w:val="center"/>
          </w:tcPr>
          <w:p w14:paraId="7A1B51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信息深度</w:t>
            </w:r>
          </w:p>
        </w:tc>
        <w:tc>
          <w:tcPr>
            <w:tcW w:w="810" w:type="pct"/>
            <w:gridSpan w:val="2"/>
            <w:tcBorders>
              <w:tl2br w:val="nil"/>
              <w:tr2bl w:val="nil"/>
            </w:tcBorders>
            <w:shd w:val="clear" w:color="auto" w:fill="auto"/>
            <w:noWrap/>
            <w:tcMar>
              <w:top w:w="15" w:type="dxa"/>
              <w:left w:w="15" w:type="dxa"/>
              <w:right w:w="15" w:type="dxa"/>
            </w:tcMar>
            <w:vAlign w:val="center"/>
          </w:tcPr>
          <w:p w14:paraId="460BB3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几何表达精度</w:t>
            </w:r>
          </w:p>
        </w:tc>
        <w:tc>
          <w:tcPr>
            <w:tcW w:w="811" w:type="pct"/>
            <w:tcBorders>
              <w:tl2br w:val="nil"/>
              <w:tr2bl w:val="nil"/>
            </w:tcBorders>
            <w:shd w:val="clear" w:color="auto" w:fill="auto"/>
            <w:noWrap/>
            <w:tcMar>
              <w:top w:w="15" w:type="dxa"/>
              <w:left w:w="15" w:type="dxa"/>
              <w:right w:w="15" w:type="dxa"/>
            </w:tcMar>
            <w:vAlign w:val="center"/>
          </w:tcPr>
          <w:p w14:paraId="16AB06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信息深度</w:t>
            </w:r>
          </w:p>
        </w:tc>
      </w:tr>
      <w:tr w14:paraId="1E84E4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restart"/>
            <w:tcBorders>
              <w:tl2br w:val="nil"/>
              <w:tr2bl w:val="nil"/>
            </w:tcBorders>
            <w:shd w:val="clear" w:color="auto" w:fill="auto"/>
            <w:noWrap/>
            <w:tcMar>
              <w:top w:w="15" w:type="dxa"/>
              <w:left w:w="15" w:type="dxa"/>
              <w:right w:w="15" w:type="dxa"/>
            </w:tcMar>
            <w:vAlign w:val="center"/>
          </w:tcPr>
          <w:p w14:paraId="12D9D1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建筑</w:t>
            </w:r>
          </w:p>
        </w:tc>
        <w:tc>
          <w:tcPr>
            <w:tcW w:w="1200" w:type="pct"/>
            <w:tcBorders>
              <w:tl2br w:val="nil"/>
              <w:tr2bl w:val="nil"/>
            </w:tcBorders>
            <w:shd w:val="clear" w:color="auto" w:fill="auto"/>
            <w:tcMar>
              <w:top w:w="15" w:type="dxa"/>
              <w:left w:w="15" w:type="dxa"/>
              <w:right w:w="15" w:type="dxa"/>
            </w:tcMar>
            <w:vAlign w:val="center"/>
          </w:tcPr>
          <w:p w14:paraId="6AD6BB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外墙</w:t>
            </w:r>
          </w:p>
        </w:tc>
        <w:tc>
          <w:tcPr>
            <w:tcW w:w="810" w:type="pct"/>
            <w:tcBorders>
              <w:tl2br w:val="nil"/>
              <w:tr2bl w:val="nil"/>
            </w:tcBorders>
            <w:shd w:val="clear" w:color="auto" w:fill="auto"/>
            <w:noWrap/>
            <w:tcMar>
              <w:top w:w="15" w:type="dxa"/>
              <w:left w:w="15" w:type="dxa"/>
              <w:right w:w="15" w:type="dxa"/>
            </w:tcMar>
            <w:vAlign w:val="center"/>
          </w:tcPr>
          <w:p w14:paraId="35EAA4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369ED9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0C6C94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04889B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187587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408769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61EE1F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内墙</w:t>
            </w:r>
          </w:p>
        </w:tc>
        <w:tc>
          <w:tcPr>
            <w:tcW w:w="810" w:type="pct"/>
            <w:tcBorders>
              <w:tl2br w:val="nil"/>
              <w:tr2bl w:val="nil"/>
            </w:tcBorders>
            <w:shd w:val="clear" w:color="auto" w:fill="auto"/>
            <w:noWrap/>
            <w:tcMar>
              <w:top w:w="15" w:type="dxa"/>
              <w:left w:w="15" w:type="dxa"/>
              <w:right w:w="15" w:type="dxa"/>
            </w:tcMar>
            <w:vAlign w:val="center"/>
          </w:tcPr>
          <w:p w14:paraId="53A144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6C8532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02DAA6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6747CA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3564E2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51A44D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244295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门窗</w:t>
            </w:r>
          </w:p>
        </w:tc>
        <w:tc>
          <w:tcPr>
            <w:tcW w:w="810" w:type="pct"/>
            <w:tcBorders>
              <w:tl2br w:val="nil"/>
              <w:tr2bl w:val="nil"/>
            </w:tcBorders>
            <w:shd w:val="clear" w:color="auto" w:fill="auto"/>
            <w:noWrap/>
            <w:tcMar>
              <w:top w:w="15" w:type="dxa"/>
              <w:left w:w="15" w:type="dxa"/>
              <w:right w:w="15" w:type="dxa"/>
            </w:tcMar>
            <w:vAlign w:val="center"/>
          </w:tcPr>
          <w:p w14:paraId="697FD1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02108A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382950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43E455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140DE5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286351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7E7180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屋顶</w:t>
            </w:r>
          </w:p>
        </w:tc>
        <w:tc>
          <w:tcPr>
            <w:tcW w:w="810" w:type="pct"/>
            <w:tcBorders>
              <w:tl2br w:val="nil"/>
              <w:tr2bl w:val="nil"/>
            </w:tcBorders>
            <w:shd w:val="clear" w:color="auto" w:fill="auto"/>
            <w:noWrap/>
            <w:tcMar>
              <w:top w:w="15" w:type="dxa"/>
              <w:left w:w="15" w:type="dxa"/>
              <w:right w:w="15" w:type="dxa"/>
            </w:tcMar>
            <w:vAlign w:val="center"/>
          </w:tcPr>
          <w:p w14:paraId="04033F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0393FD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7F3658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61A4EF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752732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02E735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257F6C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w:t>
            </w:r>
            <w:r>
              <w:rPr>
                <w:rFonts w:hint="eastAsia" w:ascii="Times New Roman" w:hAnsi="Times New Roman" w:eastAsia="宋体" w:cs="Times New Roman"/>
                <w:sz w:val="21"/>
                <w:szCs w:val="21"/>
                <w:highlight w:val="none"/>
                <w:lang w:val="en-US" w:eastAsia="zh-CN"/>
              </w:rPr>
              <w:t>板</w:t>
            </w:r>
          </w:p>
        </w:tc>
        <w:tc>
          <w:tcPr>
            <w:tcW w:w="810" w:type="pct"/>
            <w:tcBorders>
              <w:tl2br w:val="nil"/>
              <w:tr2bl w:val="nil"/>
            </w:tcBorders>
            <w:shd w:val="clear" w:color="auto" w:fill="auto"/>
            <w:noWrap/>
            <w:tcMar>
              <w:top w:w="15" w:type="dxa"/>
              <w:left w:w="15" w:type="dxa"/>
              <w:right w:w="15" w:type="dxa"/>
            </w:tcMar>
            <w:vAlign w:val="center"/>
          </w:tcPr>
          <w:p w14:paraId="44E0D3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2D0845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4BFA6E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1A2CAD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043523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4A2A5B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6C7F84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楼梯</w:t>
            </w:r>
          </w:p>
        </w:tc>
        <w:tc>
          <w:tcPr>
            <w:tcW w:w="810" w:type="pct"/>
            <w:tcBorders>
              <w:tl2br w:val="nil"/>
              <w:tr2bl w:val="nil"/>
            </w:tcBorders>
            <w:shd w:val="clear" w:color="auto" w:fill="auto"/>
            <w:noWrap/>
            <w:tcMar>
              <w:top w:w="15" w:type="dxa"/>
              <w:left w:w="15" w:type="dxa"/>
              <w:right w:w="15" w:type="dxa"/>
            </w:tcMar>
            <w:vAlign w:val="center"/>
          </w:tcPr>
          <w:p w14:paraId="1F28BF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2F0950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50BBCA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7A9E50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773945C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59385D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238659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栏杆</w:t>
            </w:r>
          </w:p>
        </w:tc>
        <w:tc>
          <w:tcPr>
            <w:tcW w:w="810" w:type="pct"/>
            <w:tcBorders>
              <w:tl2br w:val="nil"/>
              <w:tr2bl w:val="nil"/>
            </w:tcBorders>
            <w:shd w:val="clear" w:color="auto" w:fill="auto"/>
            <w:noWrap/>
            <w:tcMar>
              <w:top w:w="15" w:type="dxa"/>
              <w:left w:w="15" w:type="dxa"/>
              <w:right w:w="15" w:type="dxa"/>
            </w:tcMar>
            <w:vAlign w:val="center"/>
          </w:tcPr>
          <w:p w14:paraId="7A58B9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6E8CFC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7342DA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0E8FD0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70CF21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7DB78C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1ADAD5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孔洞、预埋件</w:t>
            </w:r>
          </w:p>
        </w:tc>
        <w:tc>
          <w:tcPr>
            <w:tcW w:w="810" w:type="pct"/>
            <w:tcBorders>
              <w:tl2br w:val="nil"/>
              <w:tr2bl w:val="nil"/>
            </w:tcBorders>
            <w:shd w:val="clear" w:color="auto" w:fill="auto"/>
            <w:noWrap/>
            <w:tcMar>
              <w:top w:w="15" w:type="dxa"/>
              <w:left w:w="15" w:type="dxa"/>
              <w:right w:w="15" w:type="dxa"/>
            </w:tcMar>
            <w:vAlign w:val="center"/>
          </w:tcPr>
          <w:p w14:paraId="0FA43B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002B28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3F43C1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G3</w:t>
            </w:r>
          </w:p>
        </w:tc>
        <w:tc>
          <w:tcPr>
            <w:tcW w:w="811" w:type="pct"/>
            <w:tcBorders>
              <w:tl2br w:val="nil"/>
              <w:tr2bl w:val="nil"/>
            </w:tcBorders>
            <w:shd w:val="clear" w:color="auto" w:fill="auto"/>
            <w:noWrap/>
            <w:tcMar>
              <w:top w:w="15" w:type="dxa"/>
              <w:left w:w="15" w:type="dxa"/>
              <w:right w:w="15" w:type="dxa"/>
            </w:tcMar>
            <w:vAlign w:val="center"/>
          </w:tcPr>
          <w:p w14:paraId="0093CB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N1</w:t>
            </w:r>
          </w:p>
        </w:tc>
      </w:tr>
      <w:tr w14:paraId="4A028B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restart"/>
            <w:tcBorders>
              <w:tl2br w:val="nil"/>
              <w:tr2bl w:val="nil"/>
            </w:tcBorders>
            <w:shd w:val="clear" w:color="auto" w:fill="auto"/>
            <w:noWrap/>
            <w:tcMar>
              <w:top w:w="15" w:type="dxa"/>
              <w:left w:w="15" w:type="dxa"/>
              <w:right w:w="15" w:type="dxa"/>
            </w:tcMar>
            <w:vAlign w:val="center"/>
          </w:tcPr>
          <w:p w14:paraId="43E6AE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结构</w:t>
            </w:r>
          </w:p>
        </w:tc>
        <w:tc>
          <w:tcPr>
            <w:tcW w:w="1200" w:type="pct"/>
            <w:tcBorders>
              <w:tl2br w:val="nil"/>
              <w:tr2bl w:val="nil"/>
            </w:tcBorders>
            <w:shd w:val="clear" w:color="auto" w:fill="auto"/>
            <w:tcMar>
              <w:top w:w="15" w:type="dxa"/>
              <w:left w:w="15" w:type="dxa"/>
              <w:right w:w="15" w:type="dxa"/>
            </w:tcMar>
            <w:vAlign w:val="center"/>
          </w:tcPr>
          <w:p w14:paraId="1AC622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基础</w:t>
            </w:r>
          </w:p>
        </w:tc>
        <w:tc>
          <w:tcPr>
            <w:tcW w:w="810" w:type="pct"/>
            <w:tcBorders>
              <w:tl2br w:val="nil"/>
              <w:tr2bl w:val="nil"/>
            </w:tcBorders>
            <w:shd w:val="clear" w:color="auto" w:fill="auto"/>
            <w:noWrap/>
            <w:tcMar>
              <w:top w:w="15" w:type="dxa"/>
              <w:left w:w="15" w:type="dxa"/>
              <w:right w:w="15" w:type="dxa"/>
            </w:tcMar>
            <w:vAlign w:val="center"/>
          </w:tcPr>
          <w:p w14:paraId="40EEC2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4990C7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50C241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G3</w:t>
            </w:r>
          </w:p>
        </w:tc>
        <w:tc>
          <w:tcPr>
            <w:tcW w:w="811" w:type="pct"/>
            <w:tcBorders>
              <w:tl2br w:val="nil"/>
              <w:tr2bl w:val="nil"/>
            </w:tcBorders>
            <w:shd w:val="clear" w:color="auto" w:fill="auto"/>
            <w:noWrap/>
            <w:tcMar>
              <w:top w:w="15" w:type="dxa"/>
              <w:left w:w="15" w:type="dxa"/>
              <w:right w:w="15" w:type="dxa"/>
            </w:tcMar>
            <w:vAlign w:val="center"/>
          </w:tcPr>
          <w:p w14:paraId="5ACB8E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N1</w:t>
            </w:r>
          </w:p>
        </w:tc>
      </w:tr>
      <w:tr w14:paraId="5D0D05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7C23F3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4C4218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柱</w:t>
            </w:r>
          </w:p>
        </w:tc>
        <w:tc>
          <w:tcPr>
            <w:tcW w:w="810" w:type="pct"/>
            <w:tcBorders>
              <w:tl2br w:val="nil"/>
              <w:tr2bl w:val="nil"/>
            </w:tcBorders>
            <w:shd w:val="clear" w:color="auto" w:fill="auto"/>
            <w:noWrap/>
            <w:tcMar>
              <w:top w:w="15" w:type="dxa"/>
              <w:left w:w="15" w:type="dxa"/>
              <w:right w:w="15" w:type="dxa"/>
            </w:tcMar>
            <w:vAlign w:val="center"/>
          </w:tcPr>
          <w:p w14:paraId="60D27E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7A0C88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774DF5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G3</w:t>
            </w:r>
          </w:p>
        </w:tc>
        <w:tc>
          <w:tcPr>
            <w:tcW w:w="811" w:type="pct"/>
            <w:tcBorders>
              <w:tl2br w:val="nil"/>
              <w:tr2bl w:val="nil"/>
            </w:tcBorders>
            <w:shd w:val="clear" w:color="auto" w:fill="auto"/>
            <w:noWrap/>
            <w:tcMar>
              <w:top w:w="15" w:type="dxa"/>
              <w:left w:w="15" w:type="dxa"/>
              <w:right w:w="15" w:type="dxa"/>
            </w:tcMar>
            <w:vAlign w:val="center"/>
          </w:tcPr>
          <w:p w14:paraId="39D26F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N1</w:t>
            </w:r>
          </w:p>
        </w:tc>
      </w:tr>
      <w:tr w14:paraId="5D111B3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0C437A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116FC8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梁</w:t>
            </w:r>
          </w:p>
        </w:tc>
        <w:tc>
          <w:tcPr>
            <w:tcW w:w="810" w:type="pct"/>
            <w:tcBorders>
              <w:tl2br w:val="nil"/>
              <w:tr2bl w:val="nil"/>
            </w:tcBorders>
            <w:shd w:val="clear" w:color="auto" w:fill="auto"/>
            <w:noWrap/>
            <w:tcMar>
              <w:top w:w="15" w:type="dxa"/>
              <w:left w:w="15" w:type="dxa"/>
              <w:right w:w="15" w:type="dxa"/>
            </w:tcMar>
            <w:vAlign w:val="center"/>
          </w:tcPr>
          <w:p w14:paraId="3AED73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364A7E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5BBC5B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G3</w:t>
            </w:r>
          </w:p>
        </w:tc>
        <w:tc>
          <w:tcPr>
            <w:tcW w:w="811" w:type="pct"/>
            <w:tcBorders>
              <w:tl2br w:val="nil"/>
              <w:tr2bl w:val="nil"/>
            </w:tcBorders>
            <w:shd w:val="clear" w:color="auto" w:fill="auto"/>
            <w:noWrap/>
            <w:tcMar>
              <w:top w:w="15" w:type="dxa"/>
              <w:left w:w="15" w:type="dxa"/>
              <w:right w:w="15" w:type="dxa"/>
            </w:tcMar>
            <w:vAlign w:val="center"/>
          </w:tcPr>
          <w:p w14:paraId="249B6C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N1</w:t>
            </w:r>
          </w:p>
        </w:tc>
      </w:tr>
      <w:tr w14:paraId="405F96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26EAC4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266F9A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钢结构</w:t>
            </w:r>
          </w:p>
        </w:tc>
        <w:tc>
          <w:tcPr>
            <w:tcW w:w="810" w:type="pct"/>
            <w:tcBorders>
              <w:tl2br w:val="nil"/>
              <w:tr2bl w:val="nil"/>
            </w:tcBorders>
            <w:shd w:val="clear" w:color="auto" w:fill="auto"/>
            <w:noWrap/>
            <w:tcMar>
              <w:top w:w="15" w:type="dxa"/>
              <w:left w:w="15" w:type="dxa"/>
              <w:right w:w="15" w:type="dxa"/>
            </w:tcMar>
            <w:vAlign w:val="center"/>
          </w:tcPr>
          <w:p w14:paraId="2C83A7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04E57D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3AEDF4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034320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N1</w:t>
            </w:r>
          </w:p>
        </w:tc>
      </w:tr>
      <w:tr w14:paraId="48059B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restart"/>
            <w:tcBorders>
              <w:tl2br w:val="nil"/>
              <w:tr2bl w:val="nil"/>
            </w:tcBorders>
            <w:shd w:val="clear" w:color="auto" w:fill="auto"/>
            <w:noWrap/>
            <w:tcMar>
              <w:top w:w="15" w:type="dxa"/>
              <w:left w:w="15" w:type="dxa"/>
              <w:right w:w="15" w:type="dxa"/>
            </w:tcMar>
            <w:vAlign w:val="center"/>
          </w:tcPr>
          <w:p w14:paraId="07B129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管道</w:t>
            </w:r>
          </w:p>
        </w:tc>
        <w:tc>
          <w:tcPr>
            <w:tcW w:w="1200" w:type="pct"/>
            <w:tcBorders>
              <w:tl2br w:val="nil"/>
              <w:tr2bl w:val="nil"/>
            </w:tcBorders>
            <w:shd w:val="clear" w:color="auto" w:fill="auto"/>
            <w:tcMar>
              <w:top w:w="15" w:type="dxa"/>
              <w:left w:w="15" w:type="dxa"/>
              <w:right w:w="15" w:type="dxa"/>
            </w:tcMar>
            <w:vAlign w:val="center"/>
          </w:tcPr>
          <w:p w14:paraId="1B628B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管道及管件</w:t>
            </w:r>
          </w:p>
        </w:tc>
        <w:tc>
          <w:tcPr>
            <w:tcW w:w="810" w:type="pct"/>
            <w:tcBorders>
              <w:tl2br w:val="nil"/>
              <w:tr2bl w:val="nil"/>
            </w:tcBorders>
            <w:shd w:val="clear" w:color="auto" w:fill="auto"/>
            <w:noWrap/>
            <w:tcMar>
              <w:top w:w="15" w:type="dxa"/>
              <w:left w:w="15" w:type="dxa"/>
              <w:right w:w="15" w:type="dxa"/>
            </w:tcMar>
            <w:vAlign w:val="center"/>
          </w:tcPr>
          <w:p w14:paraId="1E9A05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810" w:type="pct"/>
            <w:tcBorders>
              <w:tl2br w:val="nil"/>
              <w:tr2bl w:val="nil"/>
            </w:tcBorders>
            <w:shd w:val="clear" w:color="auto" w:fill="auto"/>
            <w:noWrap/>
            <w:tcMar>
              <w:top w:w="15" w:type="dxa"/>
              <w:left w:w="15" w:type="dxa"/>
              <w:right w:w="15" w:type="dxa"/>
            </w:tcMar>
            <w:vAlign w:val="center"/>
          </w:tcPr>
          <w:p w14:paraId="7DB854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N3</w:t>
            </w:r>
          </w:p>
        </w:tc>
        <w:tc>
          <w:tcPr>
            <w:tcW w:w="810" w:type="pct"/>
            <w:gridSpan w:val="2"/>
            <w:tcBorders>
              <w:tl2br w:val="nil"/>
              <w:tr2bl w:val="nil"/>
            </w:tcBorders>
            <w:shd w:val="clear" w:color="auto" w:fill="auto"/>
            <w:noWrap/>
            <w:tcMar>
              <w:top w:w="15" w:type="dxa"/>
              <w:left w:w="15" w:type="dxa"/>
              <w:right w:w="15" w:type="dxa"/>
            </w:tcMar>
            <w:vAlign w:val="center"/>
          </w:tcPr>
          <w:p w14:paraId="347063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G4</w:t>
            </w:r>
          </w:p>
        </w:tc>
        <w:tc>
          <w:tcPr>
            <w:tcW w:w="811" w:type="pct"/>
            <w:tcBorders>
              <w:tl2br w:val="nil"/>
              <w:tr2bl w:val="nil"/>
            </w:tcBorders>
            <w:shd w:val="clear" w:color="auto" w:fill="auto"/>
            <w:noWrap/>
            <w:tcMar>
              <w:top w:w="15" w:type="dxa"/>
              <w:left w:w="15" w:type="dxa"/>
              <w:right w:w="15" w:type="dxa"/>
            </w:tcMar>
            <w:vAlign w:val="center"/>
          </w:tcPr>
          <w:p w14:paraId="684324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38B7A3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68F13F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16CD7F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管道附件</w:t>
            </w:r>
          </w:p>
        </w:tc>
        <w:tc>
          <w:tcPr>
            <w:tcW w:w="810" w:type="pct"/>
            <w:tcBorders>
              <w:tl2br w:val="nil"/>
              <w:tr2bl w:val="nil"/>
            </w:tcBorders>
            <w:shd w:val="clear" w:color="auto" w:fill="auto"/>
            <w:noWrap/>
            <w:tcMar>
              <w:top w:w="15" w:type="dxa"/>
              <w:left w:w="15" w:type="dxa"/>
              <w:right w:w="15" w:type="dxa"/>
            </w:tcMar>
            <w:vAlign w:val="center"/>
          </w:tcPr>
          <w:p w14:paraId="34253A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0" w:type="pct"/>
            <w:tcBorders>
              <w:tl2br w:val="nil"/>
              <w:tr2bl w:val="nil"/>
            </w:tcBorders>
            <w:shd w:val="clear" w:color="auto" w:fill="auto"/>
            <w:noWrap/>
            <w:tcMar>
              <w:top w:w="15" w:type="dxa"/>
              <w:left w:w="15" w:type="dxa"/>
              <w:right w:w="15" w:type="dxa"/>
            </w:tcMar>
            <w:vAlign w:val="center"/>
          </w:tcPr>
          <w:p w14:paraId="7BB736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N3</w:t>
            </w:r>
          </w:p>
        </w:tc>
        <w:tc>
          <w:tcPr>
            <w:tcW w:w="810" w:type="pct"/>
            <w:gridSpan w:val="2"/>
            <w:tcBorders>
              <w:tl2br w:val="nil"/>
              <w:tr2bl w:val="nil"/>
            </w:tcBorders>
            <w:shd w:val="clear" w:color="auto" w:fill="auto"/>
            <w:noWrap/>
            <w:tcMar>
              <w:top w:w="15" w:type="dxa"/>
              <w:left w:w="15" w:type="dxa"/>
              <w:right w:w="15" w:type="dxa"/>
            </w:tcMar>
            <w:vAlign w:val="center"/>
          </w:tcPr>
          <w:p w14:paraId="4AC083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773917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111733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25FC83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7AC67A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在线设备</w:t>
            </w:r>
          </w:p>
        </w:tc>
        <w:tc>
          <w:tcPr>
            <w:tcW w:w="810" w:type="pct"/>
            <w:tcBorders>
              <w:tl2br w:val="nil"/>
              <w:tr2bl w:val="nil"/>
            </w:tcBorders>
            <w:shd w:val="clear" w:color="auto" w:fill="auto"/>
            <w:noWrap/>
            <w:tcMar>
              <w:top w:w="15" w:type="dxa"/>
              <w:left w:w="15" w:type="dxa"/>
              <w:right w:w="15" w:type="dxa"/>
            </w:tcMar>
            <w:vAlign w:val="center"/>
          </w:tcPr>
          <w:p w14:paraId="74480A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0" w:type="pct"/>
            <w:tcBorders>
              <w:tl2br w:val="nil"/>
              <w:tr2bl w:val="nil"/>
            </w:tcBorders>
            <w:shd w:val="clear" w:color="auto" w:fill="auto"/>
            <w:noWrap/>
            <w:tcMar>
              <w:top w:w="15" w:type="dxa"/>
              <w:left w:w="15" w:type="dxa"/>
              <w:right w:w="15" w:type="dxa"/>
            </w:tcMar>
            <w:vAlign w:val="center"/>
          </w:tcPr>
          <w:p w14:paraId="705171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N3</w:t>
            </w:r>
          </w:p>
        </w:tc>
        <w:tc>
          <w:tcPr>
            <w:tcW w:w="810" w:type="pct"/>
            <w:gridSpan w:val="2"/>
            <w:tcBorders>
              <w:tl2br w:val="nil"/>
              <w:tr2bl w:val="nil"/>
            </w:tcBorders>
            <w:shd w:val="clear" w:color="auto" w:fill="auto"/>
            <w:noWrap/>
            <w:tcMar>
              <w:top w:w="15" w:type="dxa"/>
              <w:left w:w="15" w:type="dxa"/>
              <w:right w:w="15" w:type="dxa"/>
            </w:tcMar>
            <w:vAlign w:val="center"/>
          </w:tcPr>
          <w:p w14:paraId="27C751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56E347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209CFD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restart"/>
            <w:tcBorders>
              <w:tl2br w:val="nil"/>
              <w:tr2bl w:val="nil"/>
            </w:tcBorders>
            <w:shd w:val="clear" w:color="auto" w:fill="auto"/>
            <w:noWrap/>
            <w:tcMar>
              <w:top w:w="15" w:type="dxa"/>
              <w:left w:w="15" w:type="dxa"/>
              <w:right w:w="15" w:type="dxa"/>
            </w:tcMar>
            <w:vAlign w:val="center"/>
          </w:tcPr>
          <w:p w14:paraId="57B6DA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通风空调</w:t>
            </w:r>
          </w:p>
        </w:tc>
        <w:tc>
          <w:tcPr>
            <w:tcW w:w="1200" w:type="pct"/>
            <w:tcBorders>
              <w:tl2br w:val="nil"/>
              <w:tr2bl w:val="nil"/>
            </w:tcBorders>
            <w:shd w:val="clear" w:color="auto" w:fill="auto"/>
            <w:tcMar>
              <w:top w:w="15" w:type="dxa"/>
              <w:left w:w="15" w:type="dxa"/>
              <w:right w:w="15" w:type="dxa"/>
            </w:tcMar>
            <w:vAlign w:val="center"/>
          </w:tcPr>
          <w:p w14:paraId="1EB3F4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风管及管件</w:t>
            </w:r>
          </w:p>
        </w:tc>
        <w:tc>
          <w:tcPr>
            <w:tcW w:w="810" w:type="pct"/>
            <w:tcBorders>
              <w:tl2br w:val="nil"/>
              <w:tr2bl w:val="nil"/>
            </w:tcBorders>
            <w:shd w:val="clear" w:color="auto" w:fill="auto"/>
            <w:noWrap/>
            <w:tcMar>
              <w:top w:w="15" w:type="dxa"/>
              <w:left w:w="15" w:type="dxa"/>
              <w:right w:w="15" w:type="dxa"/>
            </w:tcMar>
            <w:vAlign w:val="center"/>
          </w:tcPr>
          <w:p w14:paraId="045984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G4</w:t>
            </w:r>
          </w:p>
        </w:tc>
        <w:tc>
          <w:tcPr>
            <w:tcW w:w="810" w:type="pct"/>
            <w:tcBorders>
              <w:tl2br w:val="nil"/>
              <w:tr2bl w:val="nil"/>
            </w:tcBorders>
            <w:shd w:val="clear" w:color="auto" w:fill="auto"/>
            <w:noWrap/>
            <w:tcMar>
              <w:top w:w="15" w:type="dxa"/>
              <w:left w:w="15" w:type="dxa"/>
              <w:right w:w="15" w:type="dxa"/>
            </w:tcMar>
            <w:vAlign w:val="center"/>
          </w:tcPr>
          <w:p w14:paraId="701EDD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N3</w:t>
            </w:r>
          </w:p>
        </w:tc>
        <w:tc>
          <w:tcPr>
            <w:tcW w:w="810" w:type="pct"/>
            <w:gridSpan w:val="2"/>
            <w:tcBorders>
              <w:tl2br w:val="nil"/>
              <w:tr2bl w:val="nil"/>
            </w:tcBorders>
            <w:shd w:val="clear" w:color="auto" w:fill="auto"/>
            <w:noWrap/>
            <w:tcMar>
              <w:top w:w="15" w:type="dxa"/>
              <w:left w:w="15" w:type="dxa"/>
              <w:right w:w="15" w:type="dxa"/>
            </w:tcMar>
            <w:vAlign w:val="center"/>
          </w:tcPr>
          <w:p w14:paraId="7F2804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G4</w:t>
            </w:r>
          </w:p>
        </w:tc>
        <w:tc>
          <w:tcPr>
            <w:tcW w:w="811" w:type="pct"/>
            <w:tcBorders>
              <w:tl2br w:val="nil"/>
              <w:tr2bl w:val="nil"/>
            </w:tcBorders>
            <w:shd w:val="clear" w:color="auto" w:fill="auto"/>
            <w:noWrap/>
            <w:tcMar>
              <w:top w:w="15" w:type="dxa"/>
              <w:left w:w="15" w:type="dxa"/>
              <w:right w:w="15" w:type="dxa"/>
            </w:tcMar>
            <w:vAlign w:val="center"/>
          </w:tcPr>
          <w:p w14:paraId="75611A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3119D3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778098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7C333D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风管附件</w:t>
            </w:r>
          </w:p>
        </w:tc>
        <w:tc>
          <w:tcPr>
            <w:tcW w:w="810" w:type="pct"/>
            <w:tcBorders>
              <w:tl2br w:val="nil"/>
              <w:tr2bl w:val="nil"/>
            </w:tcBorders>
            <w:shd w:val="clear" w:color="auto" w:fill="auto"/>
            <w:noWrap/>
            <w:tcMar>
              <w:top w:w="15" w:type="dxa"/>
              <w:left w:w="15" w:type="dxa"/>
              <w:right w:w="15" w:type="dxa"/>
            </w:tcMar>
            <w:vAlign w:val="center"/>
          </w:tcPr>
          <w:p w14:paraId="5F1FD2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0" w:type="pct"/>
            <w:tcBorders>
              <w:tl2br w:val="nil"/>
              <w:tr2bl w:val="nil"/>
            </w:tcBorders>
            <w:shd w:val="clear" w:color="auto" w:fill="auto"/>
            <w:noWrap/>
            <w:tcMar>
              <w:top w:w="15" w:type="dxa"/>
              <w:left w:w="15" w:type="dxa"/>
              <w:right w:w="15" w:type="dxa"/>
            </w:tcMar>
            <w:vAlign w:val="center"/>
          </w:tcPr>
          <w:p w14:paraId="49ADB7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N3</w:t>
            </w:r>
          </w:p>
        </w:tc>
        <w:tc>
          <w:tcPr>
            <w:tcW w:w="810" w:type="pct"/>
            <w:gridSpan w:val="2"/>
            <w:tcBorders>
              <w:tl2br w:val="nil"/>
              <w:tr2bl w:val="nil"/>
            </w:tcBorders>
            <w:shd w:val="clear" w:color="auto" w:fill="auto"/>
            <w:noWrap/>
            <w:tcMar>
              <w:top w:w="15" w:type="dxa"/>
              <w:left w:w="15" w:type="dxa"/>
              <w:right w:w="15" w:type="dxa"/>
            </w:tcMar>
            <w:vAlign w:val="center"/>
          </w:tcPr>
          <w:p w14:paraId="12A0A1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57D7D5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35B1D4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421DE1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29D24F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通风空调</w:t>
            </w:r>
            <w:r>
              <w:rPr>
                <w:rFonts w:hint="default" w:ascii="Times New Roman" w:hAnsi="Times New Roman" w:eastAsia="宋体" w:cs="Times New Roman"/>
                <w:sz w:val="21"/>
                <w:szCs w:val="21"/>
                <w:highlight w:val="none"/>
                <w:lang w:val="en-US" w:eastAsia="zh-CN"/>
              </w:rPr>
              <w:t>设备</w:t>
            </w:r>
          </w:p>
        </w:tc>
        <w:tc>
          <w:tcPr>
            <w:tcW w:w="810" w:type="pct"/>
            <w:tcBorders>
              <w:tl2br w:val="nil"/>
              <w:tr2bl w:val="nil"/>
            </w:tcBorders>
            <w:shd w:val="clear" w:color="auto" w:fill="auto"/>
            <w:noWrap/>
            <w:tcMar>
              <w:top w:w="15" w:type="dxa"/>
              <w:left w:w="15" w:type="dxa"/>
              <w:right w:w="15" w:type="dxa"/>
            </w:tcMar>
            <w:vAlign w:val="center"/>
          </w:tcPr>
          <w:p w14:paraId="71A9AF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0" w:type="pct"/>
            <w:tcBorders>
              <w:tl2br w:val="nil"/>
              <w:tr2bl w:val="nil"/>
            </w:tcBorders>
            <w:shd w:val="clear" w:color="auto" w:fill="auto"/>
            <w:noWrap/>
            <w:tcMar>
              <w:top w:w="15" w:type="dxa"/>
              <w:left w:w="15" w:type="dxa"/>
              <w:right w:w="15" w:type="dxa"/>
            </w:tcMar>
            <w:vAlign w:val="center"/>
          </w:tcPr>
          <w:p w14:paraId="07709B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N3</w:t>
            </w:r>
          </w:p>
        </w:tc>
        <w:tc>
          <w:tcPr>
            <w:tcW w:w="810" w:type="pct"/>
            <w:gridSpan w:val="2"/>
            <w:tcBorders>
              <w:tl2br w:val="nil"/>
              <w:tr2bl w:val="nil"/>
            </w:tcBorders>
            <w:shd w:val="clear" w:color="auto" w:fill="auto"/>
            <w:noWrap/>
            <w:tcMar>
              <w:top w:w="15" w:type="dxa"/>
              <w:left w:w="15" w:type="dxa"/>
              <w:right w:w="15" w:type="dxa"/>
            </w:tcMar>
            <w:vAlign w:val="center"/>
          </w:tcPr>
          <w:p w14:paraId="0F43E7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1F3274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58A0A9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restart"/>
            <w:tcBorders>
              <w:tl2br w:val="nil"/>
              <w:tr2bl w:val="nil"/>
            </w:tcBorders>
            <w:shd w:val="clear" w:color="auto" w:fill="auto"/>
            <w:noWrap/>
            <w:tcMar>
              <w:top w:w="15" w:type="dxa"/>
              <w:left w:w="15" w:type="dxa"/>
              <w:right w:w="15" w:type="dxa"/>
            </w:tcMar>
            <w:vAlign w:val="center"/>
          </w:tcPr>
          <w:p w14:paraId="2FC909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电气</w:t>
            </w:r>
          </w:p>
        </w:tc>
        <w:tc>
          <w:tcPr>
            <w:tcW w:w="1200" w:type="pct"/>
            <w:tcBorders>
              <w:tl2br w:val="nil"/>
              <w:tr2bl w:val="nil"/>
            </w:tcBorders>
            <w:shd w:val="clear" w:color="auto" w:fill="auto"/>
            <w:tcMar>
              <w:top w:w="15" w:type="dxa"/>
              <w:left w:w="15" w:type="dxa"/>
              <w:right w:w="15" w:type="dxa"/>
            </w:tcMar>
            <w:vAlign w:val="center"/>
          </w:tcPr>
          <w:p w14:paraId="327C8D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电缆桥架</w:t>
            </w:r>
          </w:p>
          <w:p w14:paraId="32F537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（主桥架、次桥架）</w:t>
            </w:r>
          </w:p>
        </w:tc>
        <w:tc>
          <w:tcPr>
            <w:tcW w:w="810" w:type="pct"/>
            <w:tcBorders>
              <w:tl2br w:val="nil"/>
              <w:tr2bl w:val="nil"/>
            </w:tcBorders>
            <w:shd w:val="clear" w:color="auto" w:fill="auto"/>
            <w:noWrap/>
            <w:tcMar>
              <w:top w:w="15" w:type="dxa"/>
              <w:left w:w="15" w:type="dxa"/>
              <w:right w:w="15" w:type="dxa"/>
            </w:tcMar>
            <w:vAlign w:val="center"/>
          </w:tcPr>
          <w:p w14:paraId="717A39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0AADFB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6C0A67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3</w:t>
            </w:r>
          </w:p>
        </w:tc>
        <w:tc>
          <w:tcPr>
            <w:tcW w:w="811" w:type="pct"/>
            <w:tcBorders>
              <w:tl2br w:val="nil"/>
              <w:tr2bl w:val="nil"/>
            </w:tcBorders>
            <w:shd w:val="clear" w:color="auto" w:fill="auto"/>
            <w:noWrap/>
            <w:tcMar>
              <w:top w:w="15" w:type="dxa"/>
              <w:left w:w="15" w:type="dxa"/>
              <w:right w:w="15" w:type="dxa"/>
            </w:tcMar>
            <w:vAlign w:val="center"/>
          </w:tcPr>
          <w:p w14:paraId="427512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51B13A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1EDB0F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68F2B1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电线/电缆配线管</w:t>
            </w:r>
          </w:p>
        </w:tc>
        <w:tc>
          <w:tcPr>
            <w:tcW w:w="810" w:type="pct"/>
            <w:tcBorders>
              <w:tl2br w:val="nil"/>
              <w:tr2bl w:val="nil"/>
            </w:tcBorders>
            <w:shd w:val="clear" w:color="auto" w:fill="auto"/>
            <w:noWrap/>
            <w:tcMar>
              <w:top w:w="15" w:type="dxa"/>
              <w:left w:w="15" w:type="dxa"/>
              <w:right w:w="15" w:type="dxa"/>
            </w:tcMar>
            <w:vAlign w:val="center"/>
          </w:tcPr>
          <w:p w14:paraId="5C5D3F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2FC003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1D022D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G3</w:t>
            </w:r>
          </w:p>
        </w:tc>
        <w:tc>
          <w:tcPr>
            <w:tcW w:w="811" w:type="pct"/>
            <w:tcBorders>
              <w:tl2br w:val="nil"/>
              <w:tr2bl w:val="nil"/>
            </w:tcBorders>
            <w:shd w:val="clear" w:color="auto" w:fill="auto"/>
            <w:noWrap/>
            <w:tcMar>
              <w:top w:w="15" w:type="dxa"/>
              <w:left w:w="15" w:type="dxa"/>
              <w:right w:w="15" w:type="dxa"/>
            </w:tcMar>
            <w:vAlign w:val="center"/>
          </w:tcPr>
          <w:p w14:paraId="3AC6F7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3A6401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7A37EC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692832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通信设备</w:t>
            </w:r>
          </w:p>
        </w:tc>
        <w:tc>
          <w:tcPr>
            <w:tcW w:w="810" w:type="pct"/>
            <w:tcBorders>
              <w:tl2br w:val="nil"/>
              <w:tr2bl w:val="nil"/>
            </w:tcBorders>
            <w:shd w:val="clear" w:color="auto" w:fill="auto"/>
            <w:noWrap/>
            <w:tcMar>
              <w:top w:w="15" w:type="dxa"/>
              <w:left w:w="15" w:type="dxa"/>
              <w:right w:w="15" w:type="dxa"/>
            </w:tcMar>
            <w:vAlign w:val="center"/>
          </w:tcPr>
          <w:p w14:paraId="11F517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5641D9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620544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5D41CF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6384EB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55497B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65699C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电气设备</w:t>
            </w:r>
          </w:p>
        </w:tc>
        <w:tc>
          <w:tcPr>
            <w:tcW w:w="810" w:type="pct"/>
            <w:tcBorders>
              <w:tl2br w:val="nil"/>
              <w:tr2bl w:val="nil"/>
            </w:tcBorders>
            <w:shd w:val="clear" w:color="auto" w:fill="auto"/>
            <w:noWrap/>
            <w:tcMar>
              <w:top w:w="15" w:type="dxa"/>
              <w:left w:w="15" w:type="dxa"/>
              <w:right w:w="15" w:type="dxa"/>
            </w:tcMar>
            <w:vAlign w:val="center"/>
          </w:tcPr>
          <w:p w14:paraId="7D0698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4FB1CF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61C847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4ADD39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bl>
    <w:p w14:paraId="7FF6D603"/>
    <w:p w14:paraId="450EA8F9">
      <w:pPr>
        <w:pStyle w:val="38"/>
        <w:keepNext w:val="0"/>
        <w:keepLines w:val="0"/>
        <w:pageBreakBefore w:val="0"/>
        <w:widowControl w:val="0"/>
        <w:kinsoku/>
        <w:wordWrap/>
        <w:overflowPunct/>
        <w:topLinePunct w:val="0"/>
        <w:autoSpaceDE/>
        <w:autoSpaceDN/>
        <w:bidi w:val="0"/>
        <w:adjustRightInd/>
        <w:snapToGrid/>
        <w:spacing w:before="157" w:beforeLines="50"/>
        <w:ind w:left="0" w:leftChars="0" w:right="0" w:rightChars="0" w:firstLine="0" w:firstLineChars="0"/>
        <w:jc w:val="center"/>
        <w:textAlignment w:val="auto"/>
        <w:rPr>
          <w:rFonts w:hint="eastAsia"/>
          <w:b/>
          <w:bCs/>
          <w:sz w:val="21"/>
          <w:szCs w:val="21"/>
          <w:lang w:val="en-US" w:eastAsia="zh-CN"/>
        </w:rPr>
      </w:pPr>
      <w:r>
        <w:rPr>
          <w:rFonts w:hint="eastAsia"/>
          <w:b/>
          <w:bCs/>
          <w:sz w:val="21"/>
          <w:szCs w:val="21"/>
          <w:lang w:val="en-US" w:eastAsia="zh-CN"/>
        </w:rPr>
        <w:t>续表C</w:t>
      </w:r>
    </w:p>
    <w:tbl>
      <w:tblPr>
        <w:tblStyle w:val="28"/>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929"/>
        <w:gridCol w:w="2001"/>
        <w:gridCol w:w="1350"/>
        <w:gridCol w:w="1350"/>
        <w:gridCol w:w="1"/>
        <w:gridCol w:w="1349"/>
        <w:gridCol w:w="1353"/>
      </w:tblGrid>
      <w:tr w14:paraId="1560FC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4" w:hRule="atLeast"/>
          <w:tblHeader/>
          <w:jc w:val="center"/>
        </w:trPr>
        <w:tc>
          <w:tcPr>
            <w:tcW w:w="557" w:type="pct"/>
            <w:vMerge w:val="restart"/>
            <w:tcBorders>
              <w:tl2br w:val="nil"/>
              <w:tr2bl w:val="nil"/>
            </w:tcBorders>
            <w:shd w:val="clear" w:color="auto" w:fill="auto"/>
            <w:noWrap/>
            <w:tcMar>
              <w:top w:w="15" w:type="dxa"/>
              <w:left w:w="15" w:type="dxa"/>
              <w:right w:w="15" w:type="dxa"/>
            </w:tcMar>
            <w:vAlign w:val="center"/>
          </w:tcPr>
          <w:p w14:paraId="2DB25E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专业</w:t>
            </w:r>
          </w:p>
        </w:tc>
        <w:tc>
          <w:tcPr>
            <w:tcW w:w="1200" w:type="pct"/>
            <w:vMerge w:val="restart"/>
            <w:tcBorders>
              <w:tl2br w:val="nil"/>
              <w:tr2bl w:val="nil"/>
            </w:tcBorders>
            <w:shd w:val="clear" w:color="auto" w:fill="auto"/>
            <w:tcMar>
              <w:top w:w="15" w:type="dxa"/>
              <w:left w:w="15" w:type="dxa"/>
              <w:right w:w="15" w:type="dxa"/>
            </w:tcMar>
            <w:vAlign w:val="center"/>
          </w:tcPr>
          <w:p w14:paraId="6497A0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工程对象</w:t>
            </w:r>
          </w:p>
        </w:tc>
        <w:tc>
          <w:tcPr>
            <w:tcW w:w="1620" w:type="pct"/>
            <w:gridSpan w:val="3"/>
            <w:tcBorders>
              <w:tl2br w:val="nil"/>
              <w:tr2bl w:val="nil"/>
            </w:tcBorders>
            <w:shd w:val="clear" w:color="auto" w:fill="auto"/>
            <w:noWrap/>
            <w:tcMar>
              <w:top w:w="15" w:type="dxa"/>
              <w:left w:w="15" w:type="dxa"/>
              <w:right w:w="15" w:type="dxa"/>
            </w:tcMar>
            <w:vAlign w:val="center"/>
          </w:tcPr>
          <w:p w14:paraId="760BDC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深化设计模型精细度</w:t>
            </w:r>
          </w:p>
        </w:tc>
        <w:tc>
          <w:tcPr>
            <w:tcW w:w="1621" w:type="pct"/>
            <w:gridSpan w:val="2"/>
            <w:tcBorders>
              <w:tl2br w:val="nil"/>
              <w:tr2bl w:val="nil"/>
            </w:tcBorders>
            <w:shd w:val="clear" w:color="auto" w:fill="auto"/>
            <w:noWrap/>
            <w:tcMar>
              <w:top w:w="15" w:type="dxa"/>
              <w:left w:w="15" w:type="dxa"/>
              <w:right w:w="15" w:type="dxa"/>
            </w:tcMar>
            <w:vAlign w:val="center"/>
          </w:tcPr>
          <w:p w14:paraId="3D8625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施工过程模型精细度</w:t>
            </w:r>
          </w:p>
        </w:tc>
      </w:tr>
      <w:tr w14:paraId="473566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22DC21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vMerge w:val="continue"/>
            <w:tcBorders>
              <w:tl2br w:val="nil"/>
              <w:tr2bl w:val="nil"/>
            </w:tcBorders>
            <w:shd w:val="clear" w:color="auto" w:fill="auto"/>
            <w:tcMar>
              <w:top w:w="15" w:type="dxa"/>
              <w:left w:w="15" w:type="dxa"/>
              <w:right w:w="15" w:type="dxa"/>
            </w:tcMar>
            <w:vAlign w:val="center"/>
          </w:tcPr>
          <w:p w14:paraId="5AE324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810" w:type="pct"/>
            <w:tcBorders>
              <w:tl2br w:val="nil"/>
              <w:tr2bl w:val="nil"/>
            </w:tcBorders>
            <w:shd w:val="clear" w:color="auto" w:fill="auto"/>
            <w:noWrap/>
            <w:tcMar>
              <w:top w:w="15" w:type="dxa"/>
              <w:left w:w="15" w:type="dxa"/>
              <w:right w:w="15" w:type="dxa"/>
            </w:tcMar>
            <w:vAlign w:val="center"/>
          </w:tcPr>
          <w:p w14:paraId="006931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几何表达精度</w:t>
            </w:r>
          </w:p>
        </w:tc>
        <w:tc>
          <w:tcPr>
            <w:tcW w:w="810" w:type="pct"/>
            <w:tcBorders>
              <w:tl2br w:val="nil"/>
              <w:tr2bl w:val="nil"/>
            </w:tcBorders>
            <w:shd w:val="clear" w:color="auto" w:fill="auto"/>
            <w:noWrap/>
            <w:tcMar>
              <w:top w:w="15" w:type="dxa"/>
              <w:left w:w="15" w:type="dxa"/>
              <w:right w:w="15" w:type="dxa"/>
            </w:tcMar>
            <w:vAlign w:val="center"/>
          </w:tcPr>
          <w:p w14:paraId="1B3FC7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信息深度</w:t>
            </w:r>
          </w:p>
        </w:tc>
        <w:tc>
          <w:tcPr>
            <w:tcW w:w="810" w:type="pct"/>
            <w:gridSpan w:val="2"/>
            <w:tcBorders>
              <w:tl2br w:val="nil"/>
              <w:tr2bl w:val="nil"/>
            </w:tcBorders>
            <w:shd w:val="clear" w:color="auto" w:fill="auto"/>
            <w:noWrap/>
            <w:tcMar>
              <w:top w:w="15" w:type="dxa"/>
              <w:left w:w="15" w:type="dxa"/>
              <w:right w:w="15" w:type="dxa"/>
            </w:tcMar>
            <w:vAlign w:val="center"/>
          </w:tcPr>
          <w:p w14:paraId="1D3231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几何表达精度</w:t>
            </w:r>
          </w:p>
        </w:tc>
        <w:tc>
          <w:tcPr>
            <w:tcW w:w="811" w:type="pct"/>
            <w:tcBorders>
              <w:tl2br w:val="nil"/>
              <w:tr2bl w:val="nil"/>
            </w:tcBorders>
            <w:shd w:val="clear" w:color="auto" w:fill="auto"/>
            <w:noWrap/>
            <w:tcMar>
              <w:top w:w="15" w:type="dxa"/>
              <w:left w:w="15" w:type="dxa"/>
              <w:right w:w="15" w:type="dxa"/>
            </w:tcMar>
            <w:vAlign w:val="center"/>
          </w:tcPr>
          <w:p w14:paraId="757175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信息深度</w:t>
            </w:r>
          </w:p>
        </w:tc>
      </w:tr>
      <w:tr w14:paraId="395411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restart"/>
            <w:tcBorders>
              <w:tl2br w:val="nil"/>
              <w:tr2bl w:val="nil"/>
            </w:tcBorders>
            <w:shd w:val="clear" w:color="auto" w:fill="auto"/>
            <w:noWrap/>
            <w:tcMar>
              <w:top w:w="15" w:type="dxa"/>
              <w:left w:w="15" w:type="dxa"/>
              <w:right w:w="15" w:type="dxa"/>
            </w:tcMar>
            <w:vAlign w:val="center"/>
          </w:tcPr>
          <w:p w14:paraId="6F8EB9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自动化控制仪表</w:t>
            </w:r>
          </w:p>
        </w:tc>
        <w:tc>
          <w:tcPr>
            <w:tcW w:w="1200" w:type="pct"/>
            <w:tcBorders>
              <w:tl2br w:val="nil"/>
              <w:tr2bl w:val="nil"/>
            </w:tcBorders>
            <w:shd w:val="clear" w:color="auto" w:fill="auto"/>
            <w:tcMar>
              <w:top w:w="15" w:type="dxa"/>
              <w:left w:w="15" w:type="dxa"/>
              <w:right w:w="15" w:type="dxa"/>
            </w:tcMar>
            <w:vAlign w:val="center"/>
          </w:tcPr>
          <w:p w14:paraId="1EA41A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仪表管</w:t>
            </w:r>
          </w:p>
        </w:tc>
        <w:tc>
          <w:tcPr>
            <w:tcW w:w="810" w:type="pct"/>
            <w:tcBorders>
              <w:tl2br w:val="nil"/>
              <w:tr2bl w:val="nil"/>
            </w:tcBorders>
            <w:shd w:val="clear" w:color="auto" w:fill="auto"/>
            <w:noWrap/>
            <w:tcMar>
              <w:top w:w="15" w:type="dxa"/>
              <w:left w:w="15" w:type="dxa"/>
              <w:right w:w="15" w:type="dxa"/>
            </w:tcMar>
            <w:vAlign w:val="center"/>
          </w:tcPr>
          <w:p w14:paraId="01119A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4B5E5A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0A982E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G4</w:t>
            </w:r>
          </w:p>
        </w:tc>
        <w:tc>
          <w:tcPr>
            <w:tcW w:w="811" w:type="pct"/>
            <w:tcBorders>
              <w:tl2br w:val="nil"/>
              <w:tr2bl w:val="nil"/>
            </w:tcBorders>
            <w:shd w:val="clear" w:color="auto" w:fill="auto"/>
            <w:noWrap/>
            <w:tcMar>
              <w:top w:w="15" w:type="dxa"/>
              <w:left w:w="15" w:type="dxa"/>
              <w:right w:w="15" w:type="dxa"/>
            </w:tcMar>
            <w:vAlign w:val="center"/>
          </w:tcPr>
          <w:p w14:paraId="3632F7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547352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7E36BB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075543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w:t>
            </w:r>
          </w:p>
        </w:tc>
        <w:tc>
          <w:tcPr>
            <w:tcW w:w="810" w:type="pct"/>
            <w:tcBorders>
              <w:tl2br w:val="nil"/>
              <w:tr2bl w:val="nil"/>
            </w:tcBorders>
            <w:shd w:val="clear" w:color="auto" w:fill="auto"/>
            <w:noWrap/>
            <w:tcMar>
              <w:top w:w="15" w:type="dxa"/>
              <w:left w:w="15" w:type="dxa"/>
              <w:right w:w="15" w:type="dxa"/>
            </w:tcMar>
            <w:vAlign w:val="center"/>
          </w:tcPr>
          <w:p w14:paraId="7EED68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297464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42590D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666CE1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3871BD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vMerge w:val="continue"/>
            <w:tcBorders>
              <w:tl2br w:val="nil"/>
              <w:tr2bl w:val="nil"/>
            </w:tcBorders>
            <w:shd w:val="clear" w:color="auto" w:fill="auto"/>
            <w:noWrap/>
            <w:tcMar>
              <w:top w:w="15" w:type="dxa"/>
              <w:left w:w="15" w:type="dxa"/>
              <w:right w:w="15" w:type="dxa"/>
            </w:tcMar>
            <w:vAlign w:val="center"/>
          </w:tcPr>
          <w:p w14:paraId="7840B4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p>
        </w:tc>
        <w:tc>
          <w:tcPr>
            <w:tcW w:w="1200" w:type="pct"/>
            <w:tcBorders>
              <w:tl2br w:val="nil"/>
              <w:tr2bl w:val="nil"/>
            </w:tcBorders>
            <w:shd w:val="clear" w:color="auto" w:fill="auto"/>
            <w:tcMar>
              <w:top w:w="15" w:type="dxa"/>
              <w:left w:w="15" w:type="dxa"/>
              <w:right w:w="15" w:type="dxa"/>
            </w:tcMar>
            <w:vAlign w:val="center"/>
          </w:tcPr>
          <w:p w14:paraId="2B3934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仪表框架</w:t>
            </w:r>
          </w:p>
        </w:tc>
        <w:tc>
          <w:tcPr>
            <w:tcW w:w="810" w:type="pct"/>
            <w:tcBorders>
              <w:tl2br w:val="nil"/>
              <w:tr2bl w:val="nil"/>
            </w:tcBorders>
            <w:shd w:val="clear" w:color="auto" w:fill="auto"/>
            <w:noWrap/>
            <w:tcMar>
              <w:top w:w="15" w:type="dxa"/>
              <w:left w:w="15" w:type="dxa"/>
              <w:right w:w="15" w:type="dxa"/>
            </w:tcMar>
            <w:vAlign w:val="center"/>
          </w:tcPr>
          <w:p w14:paraId="6DFFD2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4E2874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1A26BA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G</w:t>
            </w:r>
            <w:r>
              <w:rPr>
                <w:rFonts w:hint="eastAsia" w:ascii="Times New Roman" w:hAnsi="Times New Roman" w:eastAsia="宋体" w:cs="Times New Roman"/>
                <w:sz w:val="21"/>
                <w:szCs w:val="21"/>
                <w:highlight w:val="none"/>
                <w:lang w:val="en-US" w:eastAsia="zh-CN"/>
              </w:rPr>
              <w:t>2</w:t>
            </w:r>
          </w:p>
        </w:tc>
        <w:tc>
          <w:tcPr>
            <w:tcW w:w="811" w:type="pct"/>
            <w:tcBorders>
              <w:tl2br w:val="nil"/>
              <w:tr2bl w:val="nil"/>
            </w:tcBorders>
            <w:shd w:val="clear" w:color="auto" w:fill="auto"/>
            <w:noWrap/>
            <w:tcMar>
              <w:top w:w="15" w:type="dxa"/>
              <w:left w:w="15" w:type="dxa"/>
              <w:right w:w="15" w:type="dxa"/>
            </w:tcMar>
            <w:vAlign w:val="center"/>
          </w:tcPr>
          <w:p w14:paraId="057CD6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r w14:paraId="3CE9E7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57" w:type="pct"/>
            <w:tcBorders>
              <w:tl2br w:val="nil"/>
              <w:tr2bl w:val="nil"/>
            </w:tcBorders>
            <w:shd w:val="clear" w:color="auto" w:fill="auto"/>
            <w:noWrap/>
            <w:tcMar>
              <w:top w:w="15" w:type="dxa"/>
              <w:left w:w="15" w:type="dxa"/>
              <w:right w:w="15" w:type="dxa"/>
            </w:tcMar>
            <w:vAlign w:val="center"/>
          </w:tcPr>
          <w:p w14:paraId="1C94E1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机械</w:t>
            </w:r>
            <w:r>
              <w:rPr>
                <w:rFonts w:hint="default" w:ascii="Times New Roman" w:hAnsi="Times New Roman" w:eastAsia="宋体" w:cs="Times New Roman"/>
                <w:sz w:val="21"/>
                <w:szCs w:val="21"/>
                <w:highlight w:val="none"/>
                <w:lang w:val="en-US" w:eastAsia="zh-CN"/>
              </w:rPr>
              <w:t>设备</w:t>
            </w:r>
          </w:p>
        </w:tc>
        <w:tc>
          <w:tcPr>
            <w:tcW w:w="1200" w:type="pct"/>
            <w:tcBorders>
              <w:tl2br w:val="nil"/>
              <w:tr2bl w:val="nil"/>
            </w:tcBorders>
            <w:shd w:val="clear" w:color="auto" w:fill="auto"/>
            <w:tcMar>
              <w:top w:w="15" w:type="dxa"/>
              <w:left w:w="15" w:type="dxa"/>
              <w:right w:w="15" w:type="dxa"/>
            </w:tcMar>
            <w:vAlign w:val="center"/>
          </w:tcPr>
          <w:p w14:paraId="33B0F8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机械</w:t>
            </w:r>
            <w:r>
              <w:rPr>
                <w:rFonts w:hint="default" w:ascii="Times New Roman" w:hAnsi="Times New Roman" w:eastAsia="宋体" w:cs="Times New Roman"/>
                <w:sz w:val="21"/>
                <w:szCs w:val="21"/>
                <w:highlight w:val="none"/>
                <w:lang w:val="en-US" w:eastAsia="zh-CN"/>
              </w:rPr>
              <w:t>设备</w:t>
            </w:r>
          </w:p>
        </w:tc>
        <w:tc>
          <w:tcPr>
            <w:tcW w:w="810" w:type="pct"/>
            <w:tcBorders>
              <w:tl2br w:val="nil"/>
              <w:tr2bl w:val="nil"/>
            </w:tcBorders>
            <w:shd w:val="clear" w:color="auto" w:fill="auto"/>
            <w:noWrap/>
            <w:tcMar>
              <w:top w:w="15" w:type="dxa"/>
              <w:left w:w="15" w:type="dxa"/>
              <w:right w:w="15" w:type="dxa"/>
            </w:tcMar>
            <w:vAlign w:val="center"/>
          </w:tcPr>
          <w:p w14:paraId="643672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tcBorders>
              <w:tl2br w:val="nil"/>
              <w:tr2bl w:val="nil"/>
            </w:tcBorders>
            <w:shd w:val="clear" w:color="auto" w:fill="auto"/>
            <w:noWrap/>
            <w:tcMar>
              <w:top w:w="15" w:type="dxa"/>
              <w:left w:w="15" w:type="dxa"/>
              <w:right w:w="15" w:type="dxa"/>
            </w:tcMar>
            <w:vAlign w:val="center"/>
          </w:tcPr>
          <w:p w14:paraId="29F236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810" w:type="pct"/>
            <w:gridSpan w:val="2"/>
            <w:tcBorders>
              <w:tl2br w:val="nil"/>
              <w:tr2bl w:val="nil"/>
            </w:tcBorders>
            <w:shd w:val="clear" w:color="auto" w:fill="auto"/>
            <w:noWrap/>
            <w:tcMar>
              <w:top w:w="15" w:type="dxa"/>
              <w:left w:w="15" w:type="dxa"/>
              <w:right w:w="15" w:type="dxa"/>
            </w:tcMar>
            <w:vAlign w:val="center"/>
          </w:tcPr>
          <w:p w14:paraId="51C6A9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G2</w:t>
            </w:r>
          </w:p>
        </w:tc>
        <w:tc>
          <w:tcPr>
            <w:tcW w:w="811" w:type="pct"/>
            <w:tcBorders>
              <w:tl2br w:val="nil"/>
              <w:tr2bl w:val="nil"/>
            </w:tcBorders>
            <w:shd w:val="clear" w:color="auto" w:fill="auto"/>
            <w:noWrap/>
            <w:tcMar>
              <w:top w:w="15" w:type="dxa"/>
              <w:left w:w="15" w:type="dxa"/>
              <w:right w:w="15" w:type="dxa"/>
            </w:tcMar>
            <w:vAlign w:val="center"/>
          </w:tcPr>
          <w:p w14:paraId="04C0FE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color w:val="000000"/>
                <w:kern w:val="0"/>
                <w:sz w:val="21"/>
                <w:szCs w:val="21"/>
                <w:u w:val="none"/>
                <w:lang w:val="en-US" w:eastAsia="zh-CN" w:bidi="ar"/>
              </w:rPr>
              <w:t>N3</w:t>
            </w:r>
            <w:r>
              <w:rPr>
                <w:rFonts w:hint="eastAsia" w:ascii="Times New Roman" w:hAnsi="Times New Roman" w:eastAsia="宋体" w:cs="Times New Roman"/>
                <w:i w:val="0"/>
                <w:color w:val="000000"/>
                <w:kern w:val="0"/>
                <w:sz w:val="21"/>
                <w:szCs w:val="21"/>
                <w:u w:val="none"/>
                <w:lang w:val="en-US" w:eastAsia="zh-CN" w:bidi="ar"/>
              </w:rPr>
              <w:t>+施工信息</w:t>
            </w:r>
          </w:p>
        </w:tc>
      </w:tr>
    </w:tbl>
    <w:p w14:paraId="5B29C01A">
      <w:pPr>
        <w:pStyle w:val="38"/>
        <w:bidi w:val="0"/>
        <w:rPr>
          <w:rFonts w:ascii="Times New Roman" w:hAnsi="Times New Roman"/>
        </w:rPr>
      </w:pPr>
    </w:p>
    <w:p w14:paraId="4CE5CFB2">
      <w:pPr>
        <w:pStyle w:val="38"/>
        <w:bidi w:val="0"/>
        <w:rPr>
          <w:rFonts w:ascii="Times New Roman" w:hAnsi="Times New Roman"/>
        </w:rPr>
      </w:pPr>
    </w:p>
    <w:p w14:paraId="5D463F45">
      <w:p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0"/>
    <w:p w14:paraId="6D644DD7">
      <w:pPr>
        <w:pStyle w:val="2"/>
        <w:numPr>
          <w:ilvl w:val="0"/>
          <w:numId w:val="0"/>
        </w:numPr>
        <w:bidi w:val="0"/>
        <w:ind w:left="0" w:leftChars="0" w:right="0" w:rightChars="0" w:firstLine="0" w:firstLineChars="0"/>
        <w:jc w:val="center"/>
        <w:rPr>
          <w:rFonts w:hint="eastAsia" w:eastAsia="宋体"/>
          <w:lang w:val="en-US" w:eastAsia="zh-CN"/>
        </w:rPr>
      </w:pPr>
      <w:bookmarkStart w:id="181" w:name="_Toc29793"/>
      <w:bookmarkStart w:id="182" w:name="_Toc17037"/>
      <w:bookmarkStart w:id="183" w:name="_Toc4143"/>
      <w:bookmarkStart w:id="184" w:name="_Toc26200243"/>
      <w:bookmarkStart w:id="185" w:name="_Toc6391"/>
      <w:bookmarkStart w:id="186" w:name="_Toc11115"/>
      <w:bookmarkStart w:id="187" w:name="_Toc21513"/>
      <w:bookmarkStart w:id="188" w:name="_Toc22855"/>
      <w:bookmarkStart w:id="189" w:name="_Toc18426"/>
      <w:bookmarkStart w:id="190" w:name="_Toc27583547"/>
      <w:r>
        <w:rPr>
          <w:rFonts w:hint="eastAsia"/>
        </w:rPr>
        <w:t>用词说明</w:t>
      </w:r>
      <w:bookmarkEnd w:id="181"/>
      <w:bookmarkEnd w:id="182"/>
      <w:bookmarkEnd w:id="183"/>
      <w:bookmarkEnd w:id="184"/>
      <w:bookmarkEnd w:id="185"/>
      <w:bookmarkEnd w:id="186"/>
      <w:bookmarkEnd w:id="187"/>
      <w:bookmarkEnd w:id="188"/>
      <w:bookmarkEnd w:id="189"/>
      <w:bookmarkEnd w:id="190"/>
    </w:p>
    <w:p w14:paraId="41187FF0">
      <w:pPr>
        <w:pStyle w:val="38"/>
        <w:keepNext w:val="0"/>
        <w:keepLines w:val="0"/>
        <w:pageBreakBefore w:val="0"/>
        <w:widowControl w:val="0"/>
        <w:numPr>
          <w:ilvl w:val="0"/>
          <w:numId w:val="9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ascii="Times New Roman" w:hAnsi="Times New Roman" w:eastAsia="宋体"/>
        </w:rPr>
        <w:t>为便于在执行本</w:t>
      </w:r>
      <w:r>
        <w:rPr>
          <w:rFonts w:hint="eastAsia" w:ascii="Times New Roman" w:hAnsi="Times New Roman" w:eastAsia="宋体"/>
          <w:lang w:val="en-US" w:eastAsia="zh-CN"/>
        </w:rPr>
        <w:t>标准</w:t>
      </w:r>
      <w:r>
        <w:rPr>
          <w:rFonts w:hint="eastAsia" w:ascii="Times New Roman" w:hAnsi="Times New Roman" w:eastAsia="宋体"/>
        </w:rPr>
        <w:t>条文时区别对待，对要求严格程度不同的用词说明如下：</w:t>
      </w:r>
    </w:p>
    <w:p w14:paraId="364B2F76">
      <w:pPr>
        <w:pStyle w:val="38"/>
        <w:keepNext w:val="0"/>
        <w:keepLines w:val="0"/>
        <w:pageBreakBefore w:val="0"/>
        <w:widowControl w:val="0"/>
        <w:numPr>
          <w:ilvl w:val="0"/>
          <w:numId w:val="92"/>
        </w:numPr>
        <w:kinsoku/>
        <w:wordWrap/>
        <w:overflowPunct/>
        <w:topLinePunct w:val="0"/>
        <w:autoSpaceDE/>
        <w:autoSpaceDN/>
        <w:bidi w:val="0"/>
        <w:adjustRightInd/>
        <w:snapToGrid/>
        <w:ind w:left="1059" w:leftChars="300" w:hanging="429" w:hangingChars="179"/>
        <w:textAlignment w:val="auto"/>
        <w:rPr>
          <w:rFonts w:hint="eastAsia"/>
        </w:rPr>
      </w:pPr>
      <w:r>
        <w:rPr>
          <w:rFonts w:hint="eastAsia"/>
        </w:rPr>
        <w:t>表示很严格，非这样做不可的：</w:t>
      </w:r>
    </w:p>
    <w:p w14:paraId="4912455B">
      <w:pPr>
        <w:spacing w:line="360" w:lineRule="auto"/>
        <w:ind w:left="210" w:leftChars="100" w:firstLine="880" w:firstLineChars="367"/>
        <w:rPr>
          <w:rFonts w:ascii="Times New Roman" w:hAnsi="Times New Roman" w:cs="Times New Roman"/>
          <w:sz w:val="24"/>
          <w:szCs w:val="24"/>
        </w:rPr>
      </w:pPr>
      <w:r>
        <w:rPr>
          <w:rFonts w:hint="eastAsia" w:ascii="Times New Roman" w:hAnsi="Times New Roman" w:cs="Times New Roman"/>
          <w:sz w:val="24"/>
          <w:szCs w:val="24"/>
        </w:rPr>
        <w:t>正面词采用</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必须</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，反面词采用</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严禁</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w:t>
      </w:r>
    </w:p>
    <w:p w14:paraId="2A05F99E">
      <w:pPr>
        <w:pStyle w:val="38"/>
        <w:keepNext w:val="0"/>
        <w:keepLines w:val="0"/>
        <w:pageBreakBefore w:val="0"/>
        <w:widowControl w:val="0"/>
        <w:numPr>
          <w:ilvl w:val="0"/>
          <w:numId w:val="92"/>
        </w:numPr>
        <w:kinsoku/>
        <w:wordWrap/>
        <w:overflowPunct/>
        <w:topLinePunct w:val="0"/>
        <w:autoSpaceDE/>
        <w:autoSpaceDN/>
        <w:bidi w:val="0"/>
        <w:adjustRightInd/>
        <w:snapToGrid/>
        <w:ind w:left="1059" w:leftChars="300" w:hanging="429" w:hangingChars="179"/>
        <w:textAlignment w:val="auto"/>
        <w:rPr>
          <w:rFonts w:hint="eastAsia"/>
        </w:rPr>
      </w:pPr>
      <w:r>
        <w:rPr>
          <w:rFonts w:hint="eastAsia"/>
        </w:rPr>
        <w:t>表示严格，在正常情况下均应这样做的：</w:t>
      </w:r>
    </w:p>
    <w:p w14:paraId="76744C07">
      <w:pPr>
        <w:spacing w:line="360" w:lineRule="auto"/>
        <w:ind w:left="210" w:leftChars="100" w:firstLine="880" w:firstLineChars="367"/>
        <w:rPr>
          <w:rFonts w:ascii="Times New Roman" w:hAnsi="Times New Roman" w:cs="Times New Roman"/>
          <w:sz w:val="24"/>
          <w:szCs w:val="24"/>
        </w:rPr>
      </w:pPr>
      <w:r>
        <w:rPr>
          <w:rFonts w:hint="eastAsia" w:ascii="Times New Roman" w:hAnsi="Times New Roman" w:cs="Times New Roman"/>
          <w:sz w:val="24"/>
          <w:szCs w:val="24"/>
        </w:rPr>
        <w:t>正面词采用</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应</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，反面词采用</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不应</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或</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不得</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w:t>
      </w:r>
    </w:p>
    <w:p w14:paraId="011AF19F">
      <w:pPr>
        <w:pStyle w:val="38"/>
        <w:keepNext w:val="0"/>
        <w:keepLines w:val="0"/>
        <w:pageBreakBefore w:val="0"/>
        <w:widowControl w:val="0"/>
        <w:numPr>
          <w:ilvl w:val="0"/>
          <w:numId w:val="92"/>
        </w:numPr>
        <w:kinsoku/>
        <w:wordWrap/>
        <w:overflowPunct/>
        <w:topLinePunct w:val="0"/>
        <w:autoSpaceDE/>
        <w:autoSpaceDN/>
        <w:bidi w:val="0"/>
        <w:adjustRightInd/>
        <w:snapToGrid/>
        <w:ind w:left="1059" w:leftChars="300" w:hanging="429" w:hangingChars="179"/>
        <w:textAlignment w:val="auto"/>
        <w:rPr>
          <w:rFonts w:hint="eastAsia"/>
        </w:rPr>
      </w:pPr>
      <w:r>
        <w:rPr>
          <w:rFonts w:hint="eastAsia"/>
        </w:rPr>
        <w:t>表示允许稍有选择，在条件许可时首先应这样做的：</w:t>
      </w:r>
    </w:p>
    <w:p w14:paraId="677D9A5D">
      <w:pPr>
        <w:spacing w:line="360" w:lineRule="auto"/>
        <w:ind w:left="210" w:leftChars="100" w:firstLine="880" w:firstLineChars="367"/>
        <w:rPr>
          <w:rFonts w:ascii="Times New Roman" w:hAnsi="Times New Roman" w:cs="Times New Roman"/>
          <w:sz w:val="24"/>
          <w:szCs w:val="24"/>
        </w:rPr>
      </w:pPr>
      <w:r>
        <w:rPr>
          <w:rFonts w:hint="eastAsia" w:ascii="Times New Roman" w:hAnsi="Times New Roman" w:cs="Times New Roman"/>
          <w:sz w:val="24"/>
          <w:szCs w:val="24"/>
        </w:rPr>
        <w:t>正面词采用</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宜</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，反面词采用</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不宜</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w:t>
      </w:r>
    </w:p>
    <w:p w14:paraId="0840BD57">
      <w:pPr>
        <w:pStyle w:val="38"/>
        <w:keepNext w:val="0"/>
        <w:keepLines w:val="0"/>
        <w:pageBreakBefore w:val="0"/>
        <w:widowControl w:val="0"/>
        <w:numPr>
          <w:ilvl w:val="0"/>
          <w:numId w:val="92"/>
        </w:numPr>
        <w:kinsoku/>
        <w:wordWrap/>
        <w:overflowPunct/>
        <w:topLinePunct w:val="0"/>
        <w:autoSpaceDE/>
        <w:autoSpaceDN/>
        <w:bidi w:val="0"/>
        <w:adjustRightInd/>
        <w:snapToGrid/>
        <w:ind w:left="1059" w:leftChars="300" w:hanging="429" w:hangingChars="179"/>
        <w:textAlignment w:val="auto"/>
        <w:rPr>
          <w:rFonts w:hint="eastAsia"/>
        </w:rPr>
      </w:pPr>
      <w:r>
        <w:rPr>
          <w:rFonts w:hint="eastAsia"/>
        </w:rPr>
        <w:t>表示有选择，在一定条件下可以这样做的，采用</w:t>
      </w:r>
      <w:r>
        <w:rPr>
          <w:rFonts w:hint="eastAsia"/>
          <w:lang w:eastAsia="zh-CN"/>
        </w:rPr>
        <w:t>“</w:t>
      </w:r>
      <w:r>
        <w:rPr>
          <w:rFonts w:hint="eastAsia"/>
        </w:rPr>
        <w:t>可</w:t>
      </w:r>
      <w:r>
        <w:rPr>
          <w:rFonts w:hint="eastAsia"/>
          <w:lang w:eastAsia="zh-CN"/>
        </w:rPr>
        <w:t>”</w:t>
      </w:r>
      <w:r>
        <w:rPr>
          <w:rFonts w:hint="eastAsia"/>
        </w:rPr>
        <w:t>。</w:t>
      </w:r>
    </w:p>
    <w:p w14:paraId="5C4A3DC3">
      <w:pPr>
        <w:pStyle w:val="38"/>
        <w:keepNext w:val="0"/>
        <w:keepLines w:val="0"/>
        <w:pageBreakBefore w:val="0"/>
        <w:widowControl w:val="0"/>
        <w:numPr>
          <w:ilvl w:val="0"/>
          <w:numId w:val="91"/>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rPr>
      </w:pPr>
      <w:r>
        <w:rPr>
          <w:rFonts w:hint="eastAsia" w:ascii="Times New Roman" w:hAnsi="Times New Roman" w:eastAsia="宋体"/>
        </w:rPr>
        <w:t>条文中指明应按其他有关标准执行的写法为</w:t>
      </w:r>
      <w:r>
        <w:rPr>
          <w:rFonts w:hint="eastAsia" w:ascii="Times New Roman" w:hAnsi="Times New Roman" w:eastAsia="宋体"/>
          <w:lang w:eastAsia="zh-CN"/>
        </w:rPr>
        <w:t>“</w:t>
      </w:r>
      <w:r>
        <w:rPr>
          <w:rFonts w:hint="eastAsia" w:ascii="Times New Roman" w:hAnsi="Times New Roman" w:eastAsia="宋体"/>
        </w:rPr>
        <w:t>应符合……的规定</w:t>
      </w:r>
      <w:r>
        <w:rPr>
          <w:rFonts w:hint="eastAsia" w:ascii="Times New Roman" w:hAnsi="Times New Roman" w:eastAsia="宋体"/>
          <w:lang w:eastAsia="zh-CN"/>
        </w:rPr>
        <w:t>”</w:t>
      </w:r>
      <w:r>
        <w:rPr>
          <w:rFonts w:hint="eastAsia" w:ascii="Times New Roman" w:hAnsi="Times New Roman" w:eastAsia="宋体"/>
        </w:rPr>
        <w:t>或</w:t>
      </w:r>
      <w:r>
        <w:rPr>
          <w:rFonts w:hint="eastAsia" w:ascii="Times New Roman" w:hAnsi="Times New Roman" w:eastAsia="宋体"/>
          <w:lang w:eastAsia="zh-CN"/>
        </w:rPr>
        <w:t>“</w:t>
      </w:r>
      <w:r>
        <w:rPr>
          <w:rFonts w:hint="eastAsia" w:ascii="Times New Roman" w:hAnsi="Times New Roman" w:eastAsia="宋体"/>
        </w:rPr>
        <w:t>应按……执行</w:t>
      </w:r>
      <w:r>
        <w:rPr>
          <w:rFonts w:hint="eastAsia" w:ascii="Times New Roman" w:hAnsi="Times New Roman" w:eastAsia="宋体"/>
          <w:lang w:eastAsia="zh-CN"/>
        </w:rPr>
        <w:t>”</w:t>
      </w:r>
      <w:r>
        <w:rPr>
          <w:rFonts w:hint="eastAsia" w:ascii="Times New Roman" w:hAnsi="Times New Roman" w:eastAsia="宋体"/>
        </w:rPr>
        <w:t>。</w:t>
      </w:r>
    </w:p>
    <w:p w14:paraId="684212A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3D437C1">
      <w:pPr>
        <w:pStyle w:val="2"/>
        <w:numPr>
          <w:ilvl w:val="0"/>
          <w:numId w:val="0"/>
        </w:numPr>
        <w:bidi w:val="0"/>
        <w:ind w:left="0" w:leftChars="0" w:right="0" w:rightChars="0" w:firstLine="0" w:firstLineChars="0"/>
        <w:jc w:val="center"/>
        <w:rPr>
          <w:rFonts w:hint="eastAsia" w:eastAsia="宋体"/>
          <w:lang w:val="en-US" w:eastAsia="zh-CN"/>
        </w:rPr>
      </w:pPr>
      <w:bookmarkStart w:id="191" w:name="_Toc18803"/>
      <w:bookmarkStart w:id="192" w:name="_Toc25616"/>
      <w:bookmarkStart w:id="193" w:name="_Toc4405"/>
      <w:bookmarkStart w:id="194" w:name="_Toc19758"/>
      <w:bookmarkStart w:id="195" w:name="_Toc14891"/>
      <w:bookmarkStart w:id="196" w:name="_Toc26200244"/>
      <w:bookmarkStart w:id="197" w:name="_Toc20058"/>
      <w:bookmarkStart w:id="198" w:name="_Toc4738"/>
      <w:bookmarkStart w:id="199" w:name="_Toc29330"/>
      <w:bookmarkStart w:id="200" w:name="_Toc27583548"/>
      <w:r>
        <w:rPr>
          <w:rFonts w:hint="eastAsia"/>
        </w:rPr>
        <w:t>引用标准名录</w:t>
      </w:r>
      <w:bookmarkEnd w:id="191"/>
      <w:bookmarkEnd w:id="192"/>
      <w:bookmarkEnd w:id="193"/>
      <w:bookmarkEnd w:id="194"/>
      <w:bookmarkEnd w:id="195"/>
      <w:bookmarkEnd w:id="196"/>
      <w:bookmarkEnd w:id="197"/>
      <w:bookmarkEnd w:id="198"/>
      <w:bookmarkEnd w:id="199"/>
      <w:bookmarkEnd w:id="200"/>
    </w:p>
    <w:p w14:paraId="015B42B4">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ascii="Times New Roman" w:hAnsi="Times New Roman" w:eastAsia="宋体"/>
        </w:rPr>
      </w:pPr>
      <w:r>
        <w:rPr>
          <w:rFonts w:hint="eastAsia"/>
          <w:lang w:val="en-US" w:eastAsia="zh-CN"/>
        </w:rPr>
        <w:t>本标准引用下列标准。其中，注日期的，仅对该日期对应的版本使用于本标准；不注日期的，其最新版适用于本标准。</w:t>
      </w:r>
    </w:p>
    <w:p w14:paraId="1063525D">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ascii="Times New Roman" w:hAnsi="Times New Roman" w:eastAsia="宋体"/>
        </w:rPr>
      </w:pPr>
      <w:r>
        <w:rPr>
          <w:rFonts w:hint="eastAsia" w:ascii="Times New Roman" w:hAnsi="Times New Roman" w:eastAsia="宋体"/>
        </w:rPr>
        <w:t>《建筑信息模型应用统一标准》GB/T 51212</w:t>
      </w:r>
    </w:p>
    <w:p w14:paraId="11588444">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ascii="Times New Roman" w:hAnsi="Times New Roman" w:eastAsia="宋体"/>
        </w:rPr>
      </w:pPr>
      <w:r>
        <w:rPr>
          <w:rFonts w:hint="eastAsia" w:ascii="Times New Roman" w:hAnsi="Times New Roman" w:eastAsia="宋体"/>
        </w:rPr>
        <w:t>《建筑信息模型施工应用标准》GB</w:t>
      </w:r>
      <w:r>
        <w:rPr>
          <w:rFonts w:hint="eastAsia"/>
          <w:lang w:val="en-US" w:eastAsia="zh-CN"/>
        </w:rPr>
        <w:t>/</w:t>
      </w:r>
      <w:r>
        <w:rPr>
          <w:rFonts w:hint="eastAsia" w:ascii="Times New Roman" w:hAnsi="Times New Roman" w:eastAsia="宋体"/>
        </w:rPr>
        <w:t>T</w:t>
      </w:r>
      <w:r>
        <w:rPr>
          <w:rFonts w:hint="eastAsia"/>
          <w:lang w:val="en-US" w:eastAsia="zh-CN"/>
        </w:rPr>
        <w:t xml:space="preserve"> </w:t>
      </w:r>
      <w:r>
        <w:rPr>
          <w:rFonts w:hint="eastAsia" w:ascii="Times New Roman" w:hAnsi="Times New Roman" w:eastAsia="宋体"/>
        </w:rPr>
        <w:t>51235</w:t>
      </w:r>
    </w:p>
    <w:p w14:paraId="54AFEA3C">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ascii="Times New Roman" w:hAnsi="Times New Roman" w:eastAsia="宋体"/>
        </w:rPr>
      </w:pPr>
      <w:r>
        <w:rPr>
          <w:rFonts w:hint="eastAsia" w:ascii="Times New Roman" w:hAnsi="Times New Roman" w:eastAsia="宋体"/>
        </w:rPr>
        <w:t>《建筑信息模型设计交付标准》GB/T 51301</w:t>
      </w:r>
    </w:p>
    <w:p w14:paraId="30F73716">
      <w:pPr>
        <w:bidi w:val="0"/>
      </w:pPr>
    </w:p>
    <w:p w14:paraId="2591BF26">
      <w:pPr>
        <w:bidi w:val="0"/>
      </w:pPr>
    </w:p>
    <w:p w14:paraId="3A13FF3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7B16B3D">
      <w:pPr>
        <w:autoSpaceDE w:val="0"/>
        <w:autoSpaceDN w:val="0"/>
        <w:adjustRightInd w:val="0"/>
        <w:jc w:val="center"/>
        <w:rPr>
          <w:rFonts w:ascii="宋体" w:eastAsia="宋体" w:cs="宋体"/>
          <w:kern w:val="0"/>
          <w:sz w:val="32"/>
          <w:szCs w:val="32"/>
        </w:rPr>
      </w:pPr>
    </w:p>
    <w:p w14:paraId="45832207">
      <w:pPr>
        <w:autoSpaceDE w:val="0"/>
        <w:autoSpaceDN w:val="0"/>
        <w:adjustRightInd w:val="0"/>
        <w:jc w:val="center"/>
        <w:rPr>
          <w:rFonts w:ascii="黑体" w:hAnsi="黑体" w:eastAsia="黑体" w:cs="宋体"/>
          <w:kern w:val="0"/>
          <w:sz w:val="32"/>
          <w:szCs w:val="32"/>
        </w:rPr>
      </w:pPr>
      <w:r>
        <w:rPr>
          <w:rFonts w:hint="eastAsia" w:ascii="黑体" w:hAnsi="黑体" w:eastAsia="黑体" w:cs="宋体"/>
          <w:kern w:val="0"/>
          <w:sz w:val="32"/>
          <w:szCs w:val="32"/>
        </w:rPr>
        <w:t>中国工程建设协会标准</w:t>
      </w:r>
    </w:p>
    <w:p w14:paraId="1E49DA42">
      <w:pPr>
        <w:autoSpaceDE w:val="0"/>
        <w:autoSpaceDN w:val="0"/>
        <w:adjustRightInd w:val="0"/>
        <w:jc w:val="center"/>
        <w:rPr>
          <w:rFonts w:ascii="宋体" w:eastAsia="宋体" w:cs="宋体"/>
          <w:kern w:val="0"/>
          <w:sz w:val="32"/>
          <w:szCs w:val="32"/>
        </w:rPr>
      </w:pPr>
    </w:p>
    <w:p w14:paraId="61BE3991">
      <w:pPr>
        <w:autoSpaceDE w:val="0"/>
        <w:autoSpaceDN w:val="0"/>
        <w:adjustRightInd w:val="0"/>
        <w:jc w:val="center"/>
        <w:rPr>
          <w:rFonts w:ascii="宋体" w:hAnsi="Times New Roman" w:eastAsia="宋体" w:cs="宋体"/>
          <w:kern w:val="0"/>
          <w:sz w:val="32"/>
          <w:szCs w:val="32"/>
        </w:rPr>
      </w:pPr>
      <w:r>
        <w:rPr>
          <w:rFonts w:hint="eastAsia" w:ascii="宋体" w:eastAsia="宋体" w:cs="宋体"/>
          <w:kern w:val="0"/>
          <w:sz w:val="32"/>
          <w:szCs w:val="32"/>
        </w:rPr>
        <w:t>《核电建设项目建筑信息模型（BIM）施工应用标准</w:t>
      </w:r>
      <w:r>
        <w:rPr>
          <w:rFonts w:hint="eastAsia" w:ascii="宋体" w:hAnsi="Times New Roman" w:eastAsia="宋体" w:cs="宋体"/>
          <w:kern w:val="0"/>
          <w:sz w:val="32"/>
          <w:szCs w:val="32"/>
        </w:rPr>
        <w:t>》</w:t>
      </w:r>
    </w:p>
    <w:p w14:paraId="43BE03E9">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Times New Roman" w:eastAsia="宋体" w:cs="宋体"/>
          <w:kern w:val="0"/>
          <w:szCs w:val="21"/>
        </w:rPr>
      </w:pPr>
    </w:p>
    <w:p w14:paraId="0FB7B756">
      <w:pPr>
        <w:spacing w:line="360" w:lineRule="auto"/>
        <w:jc w:val="center"/>
        <w:rPr>
          <w:rFonts w:ascii="Times New Roman" w:hAnsi="Times New Roman" w:cs="Times New Roman"/>
          <w:b/>
          <w:sz w:val="24"/>
          <w:szCs w:val="24"/>
        </w:rPr>
      </w:pPr>
      <w:r>
        <w:rPr>
          <w:rFonts w:ascii="Times New Roman" w:hAnsi="Times New Roman" w:cs="Times New Roman"/>
          <w:b/>
          <w:sz w:val="24"/>
          <w:szCs w:val="24"/>
        </w:rPr>
        <w:t>X</w:t>
      </w:r>
      <w:r>
        <w:rPr>
          <w:rFonts w:hint="eastAsia" w:ascii="Times New Roman" w:hAnsi="Times New Roman" w:cs="Times New Roman"/>
          <w:b/>
          <w:sz w:val="24"/>
          <w:szCs w:val="24"/>
        </w:rPr>
        <w:t>XXX</w:t>
      </w:r>
      <w:r>
        <w:rPr>
          <w:rFonts w:ascii="Times New Roman" w:hAnsi="Times New Roman" w:cs="Times New Roman"/>
          <w:b/>
          <w:sz w:val="24"/>
          <w:szCs w:val="24"/>
        </w:rPr>
        <w:t xml:space="preserve"> XXX - 20XX</w:t>
      </w:r>
    </w:p>
    <w:p w14:paraId="6ACDB671">
      <w:pPr>
        <w:pStyle w:val="2"/>
        <w:numPr>
          <w:ilvl w:val="0"/>
          <w:numId w:val="0"/>
        </w:numPr>
        <w:bidi w:val="0"/>
        <w:ind w:left="0" w:leftChars="0" w:right="0" w:rightChars="0" w:firstLine="0" w:firstLineChars="0"/>
        <w:jc w:val="center"/>
        <w:rPr>
          <w:rFonts w:hint="eastAsia" w:eastAsia="宋体"/>
          <w:lang w:val="en-US" w:eastAsia="zh-CN"/>
        </w:rPr>
      </w:pPr>
      <w:bookmarkStart w:id="201" w:name="_Toc1963"/>
      <w:bookmarkStart w:id="202" w:name="_Toc27583549"/>
      <w:bookmarkStart w:id="203" w:name="_Toc3859"/>
      <w:bookmarkStart w:id="204" w:name="_Toc13528"/>
      <w:bookmarkStart w:id="205" w:name="_Toc15238"/>
      <w:bookmarkStart w:id="206" w:name="_Toc29601"/>
      <w:bookmarkStart w:id="207" w:name="_Toc26200245"/>
      <w:bookmarkStart w:id="208" w:name="_Toc25965"/>
      <w:bookmarkStart w:id="209" w:name="_Toc28597"/>
      <w:bookmarkStart w:id="210" w:name="_Toc25298"/>
      <w:r>
        <w:rPr>
          <w:rFonts w:hint="eastAsia"/>
        </w:rPr>
        <w:t>条 文 说 明</w:t>
      </w:r>
      <w:bookmarkEnd w:id="201"/>
      <w:bookmarkEnd w:id="202"/>
      <w:bookmarkEnd w:id="203"/>
      <w:bookmarkEnd w:id="204"/>
      <w:bookmarkEnd w:id="205"/>
      <w:bookmarkEnd w:id="206"/>
      <w:bookmarkEnd w:id="207"/>
      <w:bookmarkEnd w:id="208"/>
      <w:bookmarkEnd w:id="209"/>
      <w:bookmarkEnd w:id="210"/>
    </w:p>
    <w:p w14:paraId="2574DE6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A007EF3">
      <w:pPr>
        <w:spacing w:line="360" w:lineRule="auto"/>
        <w:ind w:left="210" w:leftChars="100"/>
        <w:rPr>
          <w:rFonts w:ascii="Times New Roman" w:hAnsi="Times New Roman" w:cs="Times New Roman"/>
          <w:sz w:val="24"/>
          <w:szCs w:val="24"/>
        </w:rPr>
      </w:pPr>
    </w:p>
    <w:p w14:paraId="29DB35E2">
      <w:pPr>
        <w:autoSpaceDE w:val="0"/>
        <w:autoSpaceDN w:val="0"/>
        <w:adjustRightInd w:val="0"/>
        <w:jc w:val="center"/>
        <w:rPr>
          <w:rFonts w:ascii="宋体" w:hAnsi="Times New Roman" w:eastAsia="宋体" w:cs="宋体"/>
          <w:b/>
          <w:kern w:val="0"/>
          <w:sz w:val="32"/>
          <w:szCs w:val="32"/>
        </w:rPr>
      </w:pPr>
      <w:r>
        <w:rPr>
          <w:rFonts w:hint="eastAsia" w:ascii="宋体" w:hAnsi="Times New Roman" w:eastAsia="宋体" w:cs="宋体"/>
          <w:b/>
          <w:kern w:val="0"/>
          <w:sz w:val="32"/>
          <w:szCs w:val="32"/>
          <w:lang w:val="en-US" w:eastAsia="zh-CN"/>
        </w:rPr>
        <w:t>制</w:t>
      </w:r>
      <w:r>
        <w:rPr>
          <w:rFonts w:hint="eastAsia" w:ascii="宋体" w:hAnsi="Times New Roman" w:eastAsia="宋体" w:cs="宋体"/>
          <w:b/>
          <w:kern w:val="0"/>
          <w:sz w:val="32"/>
          <w:szCs w:val="32"/>
        </w:rPr>
        <w:t xml:space="preserve"> </w:t>
      </w:r>
      <w:r>
        <w:rPr>
          <w:rFonts w:hint="eastAsia" w:ascii="宋体" w:hAnsi="Times New Roman" w:eastAsia="宋体" w:cs="宋体"/>
          <w:b/>
          <w:kern w:val="0"/>
          <w:sz w:val="32"/>
          <w:szCs w:val="32"/>
          <w:lang w:val="en-US" w:eastAsia="zh-CN"/>
        </w:rPr>
        <w:t>定</w:t>
      </w:r>
      <w:r>
        <w:rPr>
          <w:rFonts w:hint="eastAsia" w:ascii="宋体" w:hAnsi="Times New Roman" w:eastAsia="宋体" w:cs="宋体"/>
          <w:b/>
          <w:kern w:val="0"/>
          <w:sz w:val="32"/>
          <w:szCs w:val="32"/>
        </w:rPr>
        <w:t xml:space="preserve"> 说 明</w:t>
      </w:r>
    </w:p>
    <w:p w14:paraId="7BA453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本标准的制定过程中，编制组进行了</w:t>
      </w:r>
      <w:r>
        <w:rPr>
          <w:rFonts w:hint="eastAsia" w:ascii="Times New Roman" w:hAnsi="Times New Roman" w:cs="Times New Roman"/>
          <w:sz w:val="24"/>
          <w:szCs w:val="24"/>
        </w:rPr>
        <w:t>广泛的调查研究，总结了我国</w:t>
      </w:r>
      <w:r>
        <w:rPr>
          <w:rFonts w:hint="eastAsia" w:ascii="Times New Roman" w:hAnsi="Times New Roman" w:cs="Times New Roman"/>
          <w:sz w:val="24"/>
          <w:szCs w:val="24"/>
          <w:lang w:val="en-US" w:eastAsia="zh-CN"/>
        </w:rPr>
        <w:t>核电站建造施工过程中开展建筑信息模型（BIM）应用</w:t>
      </w:r>
      <w:r>
        <w:rPr>
          <w:rFonts w:hint="eastAsia" w:ascii="Times New Roman" w:hAnsi="Times New Roman" w:cs="Times New Roman"/>
          <w:sz w:val="24"/>
          <w:szCs w:val="24"/>
        </w:rPr>
        <w:t>的实践经验，</w:t>
      </w:r>
      <w:r>
        <w:rPr>
          <w:rFonts w:hint="eastAsia" w:ascii="Times New Roman" w:hAnsi="Times New Roman" w:cs="Times New Roman"/>
          <w:sz w:val="24"/>
          <w:szCs w:val="24"/>
          <w:lang w:val="en-US" w:eastAsia="zh-CN"/>
        </w:rPr>
        <w:t>同时参考了有关国家标准、行业标准，广泛征求了有关方面的意见，对具体内容进行了反复讨论、协调和修改，最后经审查定稿。</w:t>
      </w:r>
    </w:p>
    <w:p w14:paraId="58CD65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为便于广大技术和管理人员在使用本标准时能正确理解和执行条款规定，《核电建设项目建筑信息模型（BIM）施工应用标准》编制组按</w:t>
      </w:r>
      <w:r>
        <w:rPr>
          <w:rFonts w:hint="eastAsia" w:ascii="Times New Roman" w:hAnsi="Times New Roman" w:cs="Times New Roman"/>
          <w:sz w:val="24"/>
          <w:szCs w:val="24"/>
        </w:rPr>
        <w:t>章、节、条</w:t>
      </w:r>
      <w:r>
        <w:rPr>
          <w:rFonts w:hint="eastAsia" w:ascii="Times New Roman" w:hAnsi="Times New Roman" w:cs="Times New Roman"/>
          <w:sz w:val="24"/>
          <w:szCs w:val="24"/>
          <w:lang w:val="en-US" w:eastAsia="zh-CN"/>
        </w:rPr>
        <w:t>顺序编制了本标准的条文说明，对条文规定的目的、依据</w:t>
      </w:r>
      <w:r>
        <w:rPr>
          <w:rFonts w:hint="eastAsia" w:ascii="Times New Roman" w:hAnsi="Times New Roman" w:cs="Times New Roman"/>
          <w:sz w:val="24"/>
          <w:szCs w:val="24"/>
        </w:rPr>
        <w:t>以及执行中需注意的有关事项</w:t>
      </w:r>
      <w:r>
        <w:rPr>
          <w:rFonts w:hint="eastAsia" w:ascii="Times New Roman" w:hAnsi="Times New Roman" w:cs="Times New Roman"/>
          <w:sz w:val="24"/>
          <w:szCs w:val="24"/>
          <w:lang w:val="en-US" w:eastAsia="zh-CN"/>
        </w:rPr>
        <w:t>等</w:t>
      </w:r>
      <w:r>
        <w:rPr>
          <w:rFonts w:hint="eastAsia" w:ascii="Times New Roman" w:hAnsi="Times New Roman" w:cs="Times New Roman"/>
          <w:sz w:val="24"/>
          <w:szCs w:val="24"/>
        </w:rPr>
        <w:t>进行了说明</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本条文说明不具备与标准正文及附录同等的法律效力，仅供使用者作为理解和把握标准规定的参考。</w:t>
      </w:r>
    </w:p>
    <w:p w14:paraId="49677E3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1BB3DBF">
      <w:pPr>
        <w:pStyle w:val="20"/>
        <w:keepNext w:val="0"/>
        <w:keepLines w:val="0"/>
        <w:pageBreakBefore w:val="0"/>
        <w:widowControl w:val="0"/>
        <w:tabs>
          <w:tab w:val="left" w:pos="284"/>
        </w:tabs>
        <w:kinsoku/>
        <w:wordWrap/>
        <w:overflowPunct/>
        <w:topLinePunct w:val="0"/>
        <w:autoSpaceDE/>
        <w:autoSpaceDN/>
        <w:bidi w:val="0"/>
        <w:adjustRightInd/>
        <w:snapToGrid/>
        <w:spacing w:line="360" w:lineRule="auto"/>
        <w:ind w:left="0" w:leftChars="0"/>
        <w:textAlignment w:val="auto"/>
        <w:rPr>
          <w:rFonts w:hint="eastAsia" w:eastAsia="宋体"/>
          <w:b w:val="0"/>
          <w:bCs/>
          <w:color w:val="000000" w:themeColor="text1"/>
          <w:sz w:val="32"/>
          <w14:textFill>
            <w14:solidFill>
              <w14:schemeClr w14:val="tx1"/>
            </w14:solidFill>
          </w14:textFill>
        </w:rPr>
      </w:pPr>
      <w:r>
        <w:rPr>
          <w:rFonts w:hint="eastAsia" w:eastAsia="宋体"/>
          <w:b w:val="0"/>
          <w:bCs/>
          <w:color w:val="000000" w:themeColor="text1"/>
          <w:sz w:val="32"/>
          <w14:textFill>
            <w14:solidFill>
              <w14:schemeClr w14:val="tx1"/>
            </w14:solidFill>
          </w14:textFill>
        </w:rPr>
        <w:t>目    次</w:t>
      </w:r>
    </w:p>
    <w:p w14:paraId="537AF151">
      <w:pPr>
        <w:pStyle w:val="20"/>
        <w:spacing w:line="240" w:lineRule="auto"/>
        <w:rPr>
          <w:rFonts w:hint="eastAsia"/>
          <w:b w:val="0"/>
        </w:rPr>
      </w:pPr>
    </w:p>
    <w:p w14:paraId="10556905">
      <w:pPr>
        <w:pStyle w:val="20"/>
        <w:tabs>
          <w:tab w:val="right" w:leader="dot" w:pos="8306"/>
          <w:tab w:val="clear" w:pos="8296"/>
        </w:tabs>
        <w:rPr>
          <w:rFonts w:hint="eastAsia" w:eastAsia="宋体"/>
          <w:lang w:val="en-US" w:eastAsia="zh-CN"/>
        </w:rPr>
      </w:pPr>
      <w:r>
        <w:fldChar w:fldCharType="begin"/>
      </w:r>
      <w:r>
        <w:instrText xml:space="preserve"> </w:instrText>
      </w:r>
      <w:r>
        <w:rPr>
          <w:rFonts w:hint="eastAsia"/>
        </w:rPr>
        <w:instrText xml:space="preserve">TOC \o "1-3" \h \z \u</w:instrText>
      </w:r>
      <w:r>
        <w:instrText xml:space="preserve"> </w:instrText>
      </w:r>
      <w:r>
        <w:fldChar w:fldCharType="separate"/>
      </w:r>
      <w:r>
        <w:rPr>
          <w:rFonts w:ascii="Times New Roman" w:hAnsi="Times New Roman" w:cs="Times New Roman"/>
          <w:szCs w:val="21"/>
        </w:rPr>
        <w:fldChar w:fldCharType="end"/>
      </w:r>
      <w:r>
        <w:rPr>
          <w:rFonts w:ascii="Times New Roman" w:hAnsi="Times New Roman" w:cs="Times New Roman"/>
          <w:szCs w:val="21"/>
        </w:rPr>
        <w:fldChar w:fldCharType="begin"/>
      </w:r>
      <w:r>
        <w:rPr>
          <w:rFonts w:ascii="Times New Roman" w:hAnsi="Times New Roman" w:cs="Times New Roman"/>
          <w:szCs w:val="21"/>
        </w:rPr>
        <w:instrText xml:space="preserve">TOC \o "1-3" \h \u </w:instrText>
      </w:r>
      <w:r>
        <w:rPr>
          <w:rFonts w:ascii="Times New Roman" w:hAnsi="Times New Roman" w:cs="Times New Roman"/>
          <w:szCs w:val="21"/>
        </w:rPr>
        <w:fldChar w:fldCharType="separate"/>
      </w:r>
      <w:r>
        <w:rPr>
          <w:rFonts w:ascii="Times New Roman" w:hAnsi="Times New Roman" w:cs="Times New Roman"/>
          <w:szCs w:val="21"/>
        </w:rPr>
        <w:fldChar w:fldCharType="begin"/>
      </w:r>
      <w:r>
        <w:rPr>
          <w:rFonts w:ascii="Times New Roman" w:hAnsi="Times New Roman" w:cs="Times New Roman"/>
          <w:szCs w:val="21"/>
        </w:rPr>
        <w:instrText xml:space="preserve"> HYPERLINK \l _Toc22162 </w:instrText>
      </w:r>
      <w:r>
        <w:rPr>
          <w:rFonts w:ascii="Times New Roman" w:hAnsi="Times New Roman" w:cs="Times New Roman"/>
          <w:szCs w:val="21"/>
        </w:rPr>
        <w:fldChar w:fldCharType="separate"/>
      </w:r>
      <w:r>
        <w:rPr>
          <w:rFonts w:hint="default" w:ascii="Times New Roman" w:hAnsi="Times New Roman" w:eastAsia="宋体" w:cs="Times New Roman"/>
          <w:szCs w:val="30"/>
        </w:rPr>
        <w:t xml:space="preserve">1 </w:t>
      </w:r>
      <w:r>
        <w:t>总  则</w:t>
      </w:r>
      <w:r>
        <w:tab/>
      </w:r>
      <w:r>
        <w:rPr>
          <w:rFonts w:hint="eastAsia"/>
          <w:lang w:val="en-US" w:eastAsia="zh-CN"/>
        </w:rPr>
        <w:t>(</w:t>
      </w:r>
      <w:r>
        <w:fldChar w:fldCharType="begin"/>
      </w:r>
      <w:r>
        <w:instrText xml:space="preserve"> PAGEREF _Toc22162 \h </w:instrText>
      </w:r>
      <w:r>
        <w:fldChar w:fldCharType="separate"/>
      </w:r>
      <w:r>
        <w:t>37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3ABAF35">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_Toc4209 </w:instrText>
      </w:r>
      <w:r>
        <w:rPr>
          <w:rFonts w:ascii="Times New Roman" w:hAnsi="Times New Roman" w:cs="Times New Roman"/>
          <w:szCs w:val="21"/>
        </w:rPr>
        <w:fldChar w:fldCharType="separate"/>
      </w:r>
      <w:r>
        <w:rPr>
          <w:rFonts w:hint="default" w:ascii="Times New Roman" w:hAnsi="Times New Roman" w:eastAsia="宋体" w:cs="Times New Roman"/>
          <w:szCs w:val="30"/>
        </w:rPr>
        <w:t xml:space="preserve">2 </w:t>
      </w:r>
      <w:r>
        <w:t>术  语</w:t>
      </w:r>
      <w:r>
        <w:tab/>
      </w:r>
      <w:r>
        <w:rPr>
          <w:rFonts w:hint="eastAsia"/>
          <w:lang w:val="en-US" w:eastAsia="zh-CN"/>
        </w:rPr>
        <w:t>(</w:t>
      </w:r>
      <w:r>
        <w:fldChar w:fldCharType="begin"/>
      </w:r>
      <w:r>
        <w:instrText xml:space="preserve"> PAGEREF _Toc4209 \h </w:instrText>
      </w:r>
      <w:r>
        <w:fldChar w:fldCharType="separate"/>
      </w:r>
      <w:r>
        <w:t>38</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46F8A86">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_Toc6638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3 </w:t>
      </w:r>
      <w:r>
        <w:t>基本规定</w:t>
      </w:r>
      <w:r>
        <w:tab/>
      </w:r>
      <w:r>
        <w:rPr>
          <w:rFonts w:hint="eastAsia"/>
          <w:lang w:val="en-US" w:eastAsia="zh-CN"/>
        </w:rPr>
        <w:t>(</w:t>
      </w:r>
      <w:r>
        <w:fldChar w:fldCharType="begin"/>
      </w:r>
      <w:r>
        <w:instrText xml:space="preserve"> PAGEREF _Toc6638 \h </w:instrText>
      </w:r>
      <w:r>
        <w:fldChar w:fldCharType="separate"/>
      </w:r>
      <w:r>
        <w:t>39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D2D15CA">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_Toc24471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3.1 </w:t>
      </w:r>
      <w:r>
        <w:rPr>
          <w:rFonts w:hint="eastAsia"/>
          <w:lang w:val="en-US" w:eastAsia="zh-CN"/>
        </w:rPr>
        <w:t>一般规定</w:t>
      </w:r>
      <w:r>
        <w:tab/>
      </w:r>
      <w:r>
        <w:rPr>
          <w:rFonts w:hint="eastAsia"/>
          <w:lang w:val="en-US" w:eastAsia="zh-CN"/>
        </w:rPr>
        <w:t>(</w:t>
      </w:r>
      <w:r>
        <w:fldChar w:fldCharType="begin"/>
      </w:r>
      <w:r>
        <w:instrText xml:space="preserve"> PAGEREF _Toc24471 \h </w:instrText>
      </w:r>
      <w:r>
        <w:fldChar w:fldCharType="separate"/>
      </w:r>
      <w:r>
        <w:t>39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23EF375">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_Toc4593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3.2 </w:t>
      </w:r>
      <w:r>
        <w:rPr>
          <w:rFonts w:hint="eastAsia"/>
          <w:lang w:val="en-US" w:eastAsia="zh-CN"/>
        </w:rPr>
        <w:t>施工BIM应用策划</w:t>
      </w:r>
      <w:r>
        <w:tab/>
      </w:r>
      <w:r>
        <w:rPr>
          <w:rFonts w:hint="eastAsia"/>
          <w:lang w:val="en-US" w:eastAsia="zh-CN"/>
        </w:rPr>
        <w:t>(</w:t>
      </w:r>
      <w:r>
        <w:fldChar w:fldCharType="begin"/>
      </w:r>
      <w:r>
        <w:instrText xml:space="preserve"> PAGEREF _Toc4593 \h </w:instrText>
      </w:r>
      <w:r>
        <w:fldChar w:fldCharType="separate"/>
      </w:r>
      <w:r>
        <w:t>39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538392C">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_Toc13269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3.3 </w:t>
      </w:r>
      <w:r>
        <w:rPr>
          <w:rFonts w:hint="eastAsia"/>
          <w:lang w:val="en-US" w:eastAsia="zh-CN"/>
        </w:rPr>
        <w:t>施工BIM应用管理</w:t>
      </w:r>
      <w:r>
        <w:tab/>
      </w:r>
      <w:r>
        <w:rPr>
          <w:rFonts w:hint="eastAsia"/>
          <w:lang w:val="en-US" w:eastAsia="zh-CN"/>
        </w:rPr>
        <w:t>(</w:t>
      </w:r>
      <w:r>
        <w:fldChar w:fldCharType="begin"/>
      </w:r>
      <w:r>
        <w:instrText xml:space="preserve"> PAGEREF _Toc13269 \h </w:instrText>
      </w:r>
      <w:r>
        <w:fldChar w:fldCharType="separate"/>
      </w:r>
      <w:r>
        <w:t>41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8FEB84A">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_Toc6781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4 </w:t>
      </w:r>
      <w:r>
        <w:rPr>
          <w:rFonts w:hint="eastAsia"/>
          <w:lang w:val="en-US" w:eastAsia="zh-CN"/>
        </w:rPr>
        <w:t>施工模型</w:t>
      </w:r>
      <w:r>
        <w:tab/>
      </w:r>
      <w:r>
        <w:rPr>
          <w:rFonts w:hint="eastAsia"/>
          <w:lang w:val="en-US" w:eastAsia="zh-CN"/>
        </w:rPr>
        <w:t>(</w:t>
      </w:r>
      <w:r>
        <w:fldChar w:fldCharType="begin"/>
      </w:r>
      <w:r>
        <w:instrText xml:space="preserve"> PAGEREF _Toc6781 \h </w:instrText>
      </w:r>
      <w:r>
        <w:fldChar w:fldCharType="separate"/>
      </w:r>
      <w:r>
        <w:t>43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1F487AC">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_Toc23545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4.1 </w:t>
      </w:r>
      <w:r>
        <w:rPr>
          <w:rFonts w:hint="eastAsia"/>
          <w:lang w:val="en-US" w:eastAsia="zh-CN"/>
        </w:rPr>
        <w:t>一般规定</w:t>
      </w:r>
      <w:r>
        <w:tab/>
      </w:r>
      <w:r>
        <w:rPr>
          <w:rFonts w:hint="eastAsia"/>
          <w:lang w:val="en-US" w:eastAsia="zh-CN"/>
        </w:rPr>
        <w:t>(</w:t>
      </w:r>
      <w:r>
        <w:fldChar w:fldCharType="begin"/>
      </w:r>
      <w:r>
        <w:instrText xml:space="preserve"> PAGEREF _Toc23545 \h </w:instrText>
      </w:r>
      <w:r>
        <w:fldChar w:fldCharType="separate"/>
      </w:r>
      <w:r>
        <w:t>43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EE7A1DF">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_Toc26584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4.2 </w:t>
      </w:r>
      <w:r>
        <w:rPr>
          <w:rFonts w:hint="eastAsia"/>
          <w:lang w:val="en-US" w:eastAsia="zh-CN"/>
        </w:rPr>
        <w:t>模型创建</w:t>
      </w:r>
      <w:r>
        <w:tab/>
      </w:r>
      <w:r>
        <w:rPr>
          <w:rFonts w:hint="eastAsia"/>
          <w:lang w:val="en-US" w:eastAsia="zh-CN"/>
        </w:rPr>
        <w:t>(</w:t>
      </w:r>
      <w:r>
        <w:fldChar w:fldCharType="begin"/>
      </w:r>
      <w:r>
        <w:instrText xml:space="preserve"> PAGEREF _Toc26584 \h </w:instrText>
      </w:r>
      <w:r>
        <w:fldChar w:fldCharType="separate"/>
      </w:r>
      <w:r>
        <w:t>43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E746979">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_Toc308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4.3 </w:t>
      </w:r>
      <w:r>
        <w:rPr>
          <w:rFonts w:hint="eastAsia"/>
          <w:lang w:val="en-US" w:eastAsia="zh-CN"/>
        </w:rPr>
        <w:t>模型精细度</w:t>
      </w:r>
      <w:r>
        <w:tab/>
      </w:r>
      <w:r>
        <w:rPr>
          <w:rFonts w:hint="eastAsia"/>
          <w:lang w:val="en-US" w:eastAsia="zh-CN"/>
        </w:rPr>
        <w:t>(</w:t>
      </w:r>
      <w:r>
        <w:fldChar w:fldCharType="begin"/>
      </w:r>
      <w:r>
        <w:instrText xml:space="preserve"> PAGEREF _Toc308 \h </w:instrText>
      </w:r>
      <w:r>
        <w:fldChar w:fldCharType="separate"/>
      </w:r>
      <w:r>
        <w:t>45</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02372E7">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_Toc13415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5 </w:t>
      </w:r>
      <w:r>
        <w:rPr>
          <w:rFonts w:hint="eastAsia"/>
          <w:lang w:val="en-US" w:eastAsia="zh-CN"/>
        </w:rPr>
        <w:t>深化设计</w:t>
      </w:r>
      <w:r>
        <w:tab/>
      </w:r>
      <w:r>
        <w:rPr>
          <w:rFonts w:hint="eastAsia"/>
          <w:lang w:val="en-US" w:eastAsia="zh-CN"/>
        </w:rPr>
        <w:t>(</w:t>
      </w:r>
      <w:r>
        <w:fldChar w:fldCharType="begin"/>
      </w:r>
      <w:r>
        <w:instrText xml:space="preserve"> PAGEREF _Toc13415 \h </w:instrText>
      </w:r>
      <w:r>
        <w:fldChar w:fldCharType="separate"/>
      </w:r>
      <w:r>
        <w:t>47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CDBDC87">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_Toc14949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5.1 </w:t>
      </w:r>
      <w:r>
        <w:rPr>
          <w:rFonts w:hint="eastAsia"/>
          <w:lang w:val="en-US" w:eastAsia="zh-CN"/>
        </w:rPr>
        <w:t>一般规定</w:t>
      </w:r>
      <w:r>
        <w:tab/>
      </w:r>
      <w:r>
        <w:rPr>
          <w:rFonts w:hint="eastAsia"/>
          <w:lang w:val="en-US" w:eastAsia="zh-CN"/>
        </w:rPr>
        <w:t>(</w:t>
      </w:r>
      <w:r>
        <w:fldChar w:fldCharType="begin"/>
      </w:r>
      <w:r>
        <w:instrText xml:space="preserve"> PAGEREF _Toc14949 \h </w:instrText>
      </w:r>
      <w:r>
        <w:fldChar w:fldCharType="separate"/>
      </w:r>
      <w:r>
        <w:t>47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79D62E8">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_Toc12633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5.2 </w:t>
      </w:r>
      <w:r>
        <w:rPr>
          <w:rFonts w:hint="eastAsia"/>
          <w:lang w:val="en-US" w:eastAsia="zh-CN"/>
        </w:rPr>
        <w:t>深化设计BIM应用原则</w:t>
      </w:r>
      <w:r>
        <w:tab/>
      </w:r>
      <w:r>
        <w:rPr>
          <w:rFonts w:hint="eastAsia"/>
          <w:lang w:val="en-US" w:eastAsia="zh-CN"/>
        </w:rPr>
        <w:t>(</w:t>
      </w:r>
      <w:r>
        <w:fldChar w:fldCharType="begin"/>
      </w:r>
      <w:r>
        <w:instrText xml:space="preserve"> PAGEREF _Toc12633 \h </w:instrText>
      </w:r>
      <w:r>
        <w:fldChar w:fldCharType="separate"/>
      </w:r>
      <w:r>
        <w:t>47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2098BB3">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_Toc15014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5.3 </w:t>
      </w:r>
      <w:r>
        <w:rPr>
          <w:rFonts w:hint="eastAsia"/>
          <w:lang w:val="en-US" w:eastAsia="zh-CN"/>
        </w:rPr>
        <w:t>深化设计BIM应用内容</w:t>
      </w:r>
      <w:r>
        <w:tab/>
      </w:r>
      <w:r>
        <w:rPr>
          <w:rFonts w:hint="eastAsia"/>
          <w:lang w:val="en-US" w:eastAsia="zh-CN"/>
        </w:rPr>
        <w:t>(</w:t>
      </w:r>
      <w:r>
        <w:fldChar w:fldCharType="begin"/>
      </w:r>
      <w:r>
        <w:instrText xml:space="preserve"> PAGEREF _Toc15014 \h </w:instrText>
      </w:r>
      <w:r>
        <w:fldChar w:fldCharType="separate"/>
      </w:r>
      <w:r>
        <w:t>47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1DBE0AC1">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_Toc31095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6 </w:t>
      </w:r>
      <w:r>
        <w:rPr>
          <w:rFonts w:hint="eastAsia"/>
          <w:lang w:val="en-US" w:eastAsia="zh-CN"/>
        </w:rPr>
        <w:t>技术准备</w:t>
      </w:r>
      <w:r>
        <w:tab/>
      </w:r>
      <w:r>
        <w:rPr>
          <w:rFonts w:hint="eastAsia"/>
          <w:lang w:val="en-US" w:eastAsia="zh-CN"/>
        </w:rPr>
        <w:t>(</w:t>
      </w:r>
      <w:r>
        <w:fldChar w:fldCharType="begin"/>
      </w:r>
      <w:r>
        <w:instrText xml:space="preserve"> PAGEREF _Toc31095 \h </w:instrText>
      </w:r>
      <w:r>
        <w:fldChar w:fldCharType="separate"/>
      </w:r>
      <w:r>
        <w:t>49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FC31FAF">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_Toc32071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6.1 </w:t>
      </w:r>
      <w:r>
        <w:rPr>
          <w:rFonts w:hint="eastAsia"/>
          <w:lang w:val="en-US" w:eastAsia="zh-CN"/>
        </w:rPr>
        <w:t>一般规定</w:t>
      </w:r>
      <w:r>
        <w:tab/>
      </w:r>
      <w:r>
        <w:rPr>
          <w:rFonts w:hint="eastAsia"/>
          <w:lang w:val="en-US" w:eastAsia="zh-CN"/>
        </w:rPr>
        <w:t>(</w:t>
      </w:r>
      <w:r>
        <w:fldChar w:fldCharType="begin"/>
      </w:r>
      <w:r>
        <w:instrText xml:space="preserve"> PAGEREF _Toc32071 \h </w:instrText>
      </w:r>
      <w:r>
        <w:fldChar w:fldCharType="separate"/>
      </w:r>
      <w:r>
        <w:t>49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D4B9349">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_Toc32701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6.2 </w:t>
      </w:r>
      <w:r>
        <w:rPr>
          <w:rFonts w:hint="eastAsia"/>
          <w:lang w:val="en-US" w:eastAsia="zh-CN"/>
        </w:rPr>
        <w:t>统计与输机</w:t>
      </w:r>
      <w:r>
        <w:tab/>
      </w:r>
      <w:r>
        <w:rPr>
          <w:rFonts w:hint="eastAsia"/>
          <w:lang w:val="en-US" w:eastAsia="zh-CN"/>
        </w:rPr>
        <w:t>(</w:t>
      </w:r>
      <w:r>
        <w:fldChar w:fldCharType="begin"/>
      </w:r>
      <w:r>
        <w:instrText xml:space="preserve"> PAGEREF _Toc32701 \h </w:instrText>
      </w:r>
      <w:r>
        <w:fldChar w:fldCharType="separate"/>
      </w:r>
      <w:r>
        <w:t>49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E6E1F1A">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_Toc8861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6.3 </w:t>
      </w:r>
      <w:r>
        <w:rPr>
          <w:rFonts w:hint="eastAsia"/>
          <w:lang w:val="en-US" w:eastAsia="zh-CN"/>
        </w:rPr>
        <w:t>碰撞检查</w:t>
      </w:r>
      <w:r>
        <w:tab/>
      </w:r>
      <w:r>
        <w:rPr>
          <w:rFonts w:hint="eastAsia"/>
          <w:lang w:val="en-US" w:eastAsia="zh-CN"/>
        </w:rPr>
        <w:t>(</w:t>
      </w:r>
      <w:r>
        <w:fldChar w:fldCharType="begin"/>
      </w:r>
      <w:r>
        <w:instrText xml:space="preserve"> PAGEREF _Toc8861 \h </w:instrText>
      </w:r>
      <w:r>
        <w:fldChar w:fldCharType="separate"/>
      </w:r>
      <w:r>
        <w:t>50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3A85BF2">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_Toc32610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6.4 </w:t>
      </w:r>
      <w:r>
        <w:rPr>
          <w:rFonts w:hint="eastAsia"/>
          <w:lang w:val="en-US" w:eastAsia="zh-CN"/>
        </w:rPr>
        <w:t>施工模拟</w:t>
      </w:r>
      <w:r>
        <w:tab/>
      </w:r>
      <w:r>
        <w:rPr>
          <w:rFonts w:hint="eastAsia"/>
          <w:lang w:val="en-US" w:eastAsia="zh-CN"/>
        </w:rPr>
        <w:t>(</w:t>
      </w:r>
      <w:r>
        <w:fldChar w:fldCharType="begin"/>
      </w:r>
      <w:r>
        <w:instrText xml:space="preserve"> PAGEREF _Toc32610 \h </w:instrText>
      </w:r>
      <w:r>
        <w:fldChar w:fldCharType="separate"/>
      </w:r>
      <w:r>
        <w:t>51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259359D6">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_Toc3154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6.5 </w:t>
      </w:r>
      <w:r>
        <w:rPr>
          <w:rFonts w:hint="eastAsia"/>
          <w:lang w:val="en-US" w:eastAsia="zh-CN"/>
        </w:rPr>
        <w:t>模块化设计</w:t>
      </w:r>
      <w:r>
        <w:tab/>
      </w:r>
      <w:r>
        <w:rPr>
          <w:rFonts w:hint="eastAsia"/>
          <w:lang w:val="en-US" w:eastAsia="zh-CN"/>
        </w:rPr>
        <w:t>(</w:t>
      </w:r>
      <w:r>
        <w:fldChar w:fldCharType="begin"/>
      </w:r>
      <w:r>
        <w:instrText xml:space="preserve"> PAGEREF _Toc3154 \h </w:instrText>
      </w:r>
      <w:r>
        <w:fldChar w:fldCharType="separate"/>
      </w:r>
      <w:r>
        <w:t>52</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B5A4F89">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_Toc24952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7 </w:t>
      </w:r>
      <w:r>
        <w:rPr>
          <w:rFonts w:hint="eastAsia"/>
          <w:lang w:val="en-US" w:eastAsia="zh-CN"/>
        </w:rPr>
        <w:t>预制加工</w:t>
      </w:r>
      <w:r>
        <w:tab/>
      </w:r>
      <w:r>
        <w:rPr>
          <w:rFonts w:hint="eastAsia"/>
          <w:lang w:val="en-US" w:eastAsia="zh-CN"/>
        </w:rPr>
        <w:t>(</w:t>
      </w:r>
      <w:r>
        <w:fldChar w:fldCharType="begin"/>
      </w:r>
      <w:r>
        <w:instrText xml:space="preserve"> PAGEREF _Toc24952 \h </w:instrText>
      </w:r>
      <w:r>
        <w:fldChar w:fldCharType="separate"/>
      </w:r>
      <w:r>
        <w:t>53</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D489C28">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_Toc32017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8 </w:t>
      </w:r>
      <w:r>
        <w:rPr>
          <w:rFonts w:hint="eastAsia"/>
          <w:lang w:val="en-US" w:eastAsia="zh-CN"/>
        </w:rPr>
        <w:t>施工实施</w:t>
      </w:r>
      <w:r>
        <w:tab/>
      </w:r>
      <w:r>
        <w:rPr>
          <w:rFonts w:hint="eastAsia"/>
          <w:lang w:val="en-US" w:eastAsia="zh-CN"/>
        </w:rPr>
        <w:t>(</w:t>
      </w:r>
      <w:r>
        <w:fldChar w:fldCharType="begin"/>
      </w:r>
      <w:r>
        <w:instrText xml:space="preserve"> PAGEREF _Toc32017 \h </w:instrText>
      </w:r>
      <w:r>
        <w:fldChar w:fldCharType="separate"/>
      </w:r>
      <w:r>
        <w:t>55</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795428F">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_Toc27735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8.1 </w:t>
      </w:r>
      <w:r>
        <w:rPr>
          <w:rFonts w:hint="eastAsia"/>
          <w:lang w:val="en-US" w:eastAsia="zh-CN"/>
        </w:rPr>
        <w:t>一般规定</w:t>
      </w:r>
      <w:r>
        <w:tab/>
      </w:r>
      <w:r>
        <w:rPr>
          <w:rFonts w:hint="eastAsia"/>
          <w:lang w:val="en-US" w:eastAsia="zh-CN"/>
        </w:rPr>
        <w:t>(</w:t>
      </w:r>
      <w:r>
        <w:fldChar w:fldCharType="begin"/>
      </w:r>
      <w:r>
        <w:instrText xml:space="preserve"> PAGEREF _Toc27735 \h </w:instrText>
      </w:r>
      <w:r>
        <w:fldChar w:fldCharType="separate"/>
      </w:r>
      <w:r>
        <w:t>55</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24BBA973">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_Toc24263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8.2 </w:t>
      </w:r>
      <w:r>
        <w:rPr>
          <w:rFonts w:hint="eastAsia"/>
          <w:lang w:val="en-US" w:eastAsia="zh-CN"/>
        </w:rPr>
        <w:t>施工应用</w:t>
      </w:r>
      <w:r>
        <w:tab/>
      </w:r>
      <w:r>
        <w:rPr>
          <w:rFonts w:hint="eastAsia"/>
          <w:lang w:val="en-US" w:eastAsia="zh-CN"/>
        </w:rPr>
        <w:t>(</w:t>
      </w:r>
      <w:r>
        <w:fldChar w:fldCharType="begin"/>
      </w:r>
      <w:r>
        <w:instrText xml:space="preserve"> PAGEREF _Toc24263 \h </w:instrText>
      </w:r>
      <w:r>
        <w:fldChar w:fldCharType="separate"/>
      </w:r>
      <w:r>
        <w:t>55</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2815A9B1">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_Toc29533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8.3 </w:t>
      </w:r>
      <w:r>
        <w:rPr>
          <w:rFonts w:hint="eastAsia"/>
          <w:lang w:val="en-US" w:eastAsia="zh-CN"/>
        </w:rPr>
        <w:t>进度管理</w:t>
      </w:r>
      <w:r>
        <w:tab/>
      </w:r>
      <w:r>
        <w:rPr>
          <w:rFonts w:hint="eastAsia"/>
          <w:lang w:val="en-US" w:eastAsia="zh-CN"/>
        </w:rPr>
        <w:t>(</w:t>
      </w:r>
      <w:r>
        <w:fldChar w:fldCharType="begin"/>
      </w:r>
      <w:r>
        <w:instrText xml:space="preserve"> PAGEREF _Toc29533 \h </w:instrText>
      </w:r>
      <w:r>
        <w:fldChar w:fldCharType="separate"/>
      </w:r>
      <w:r>
        <w:t>57</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03328E1">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_Toc11226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8.4 </w:t>
      </w:r>
      <w:r>
        <w:rPr>
          <w:rFonts w:hint="eastAsia"/>
          <w:lang w:val="en-US" w:eastAsia="zh-CN"/>
        </w:rPr>
        <w:t>质量管理</w:t>
      </w:r>
      <w:r>
        <w:tab/>
      </w:r>
      <w:r>
        <w:rPr>
          <w:rFonts w:hint="eastAsia"/>
          <w:lang w:val="en-US" w:eastAsia="zh-CN"/>
        </w:rPr>
        <w:t>(</w:t>
      </w:r>
      <w:r>
        <w:fldChar w:fldCharType="begin"/>
      </w:r>
      <w:r>
        <w:instrText xml:space="preserve"> PAGEREF _Toc11226 \h </w:instrText>
      </w:r>
      <w:r>
        <w:fldChar w:fldCharType="separate"/>
      </w:r>
      <w:r>
        <w:t>58</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6937B607">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_Toc12759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8.5 </w:t>
      </w:r>
      <w:r>
        <w:rPr>
          <w:rFonts w:hint="eastAsia"/>
          <w:lang w:val="en-US" w:eastAsia="zh-CN"/>
        </w:rPr>
        <w:t>安全管理</w:t>
      </w:r>
      <w:r>
        <w:tab/>
      </w:r>
      <w:r>
        <w:rPr>
          <w:rFonts w:hint="eastAsia"/>
          <w:lang w:val="en-US" w:eastAsia="zh-CN"/>
        </w:rPr>
        <w:t>(</w:t>
      </w:r>
      <w:r>
        <w:fldChar w:fldCharType="begin"/>
      </w:r>
      <w:r>
        <w:instrText xml:space="preserve"> PAGEREF _Toc12759 \h </w:instrText>
      </w:r>
      <w:r>
        <w:fldChar w:fldCharType="separate"/>
      </w:r>
      <w:r>
        <w:t>59</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4A45277E">
      <w:pPr>
        <w:pStyle w:val="20"/>
        <w:tabs>
          <w:tab w:val="right" w:leader="dot" w:pos="8306"/>
          <w:tab w:val="clear" w:pos="829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_Toc6900 </w:instrText>
      </w:r>
      <w:r>
        <w:rPr>
          <w:rFonts w:ascii="Times New Roman" w:hAnsi="Times New Roman" w:cs="Times New Roman"/>
          <w:szCs w:val="21"/>
        </w:rPr>
        <w:fldChar w:fldCharType="separate"/>
      </w:r>
      <w:r>
        <w:rPr>
          <w:rFonts w:hint="default" w:ascii="Times New Roman" w:hAnsi="Times New Roman" w:eastAsia="宋体" w:cs="Times New Roman"/>
          <w:szCs w:val="30"/>
          <w:lang w:val="en-US" w:eastAsia="zh-CN"/>
        </w:rPr>
        <w:t xml:space="preserve">9 </w:t>
      </w:r>
      <w:r>
        <w:rPr>
          <w:rFonts w:hint="eastAsia"/>
          <w:lang w:val="en-US" w:eastAsia="zh-CN"/>
        </w:rPr>
        <w:t>竣工交付</w:t>
      </w:r>
      <w:r>
        <w:tab/>
      </w:r>
      <w:r>
        <w:rPr>
          <w:rFonts w:hint="eastAsia"/>
          <w:lang w:val="en-US" w:eastAsia="zh-CN"/>
        </w:rPr>
        <w:t>(</w:t>
      </w:r>
      <w:r>
        <w:fldChar w:fldCharType="begin"/>
      </w:r>
      <w:r>
        <w:instrText xml:space="preserve"> PAGEREF _Toc6900 \h </w:instrText>
      </w:r>
      <w:r>
        <w:fldChar w:fldCharType="separate"/>
      </w:r>
      <w:r>
        <w:t>60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551D2C52">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_Toc4623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9.1 </w:t>
      </w:r>
      <w:r>
        <w:rPr>
          <w:rFonts w:hint="eastAsia"/>
          <w:lang w:val="en-US" w:eastAsia="zh-CN"/>
        </w:rPr>
        <w:t>一般规定</w:t>
      </w:r>
      <w:r>
        <w:tab/>
      </w:r>
      <w:r>
        <w:rPr>
          <w:rFonts w:hint="eastAsia"/>
          <w:lang w:val="en-US" w:eastAsia="zh-CN"/>
        </w:rPr>
        <w:t>(</w:t>
      </w:r>
      <w:r>
        <w:fldChar w:fldCharType="begin"/>
      </w:r>
      <w:r>
        <w:instrText xml:space="preserve"> PAGEREF _Toc4623 \h </w:instrText>
      </w:r>
      <w:r>
        <w:fldChar w:fldCharType="separate"/>
      </w:r>
      <w:r>
        <w:t>60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3875375A">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_Toc27229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9.2 </w:t>
      </w:r>
      <w:r>
        <w:rPr>
          <w:rFonts w:hint="eastAsia"/>
          <w:lang w:val="en-US" w:eastAsia="zh-CN"/>
        </w:rPr>
        <w:t>竣工交付模型</w:t>
      </w:r>
      <w:r>
        <w:tab/>
      </w:r>
      <w:r>
        <w:rPr>
          <w:rFonts w:hint="eastAsia"/>
          <w:lang w:val="en-US" w:eastAsia="zh-CN"/>
        </w:rPr>
        <w:t>(</w:t>
      </w:r>
      <w:r>
        <w:fldChar w:fldCharType="begin"/>
      </w:r>
      <w:r>
        <w:instrText xml:space="preserve"> PAGEREF _Toc27229 \h </w:instrText>
      </w:r>
      <w:r>
        <w:fldChar w:fldCharType="separate"/>
      </w:r>
      <w:r>
        <w:t>60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16A4F60D">
      <w:pPr>
        <w:pStyle w:val="23"/>
        <w:tabs>
          <w:tab w:val="right" w:leader="dot" w:pos="8306"/>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_Toc27079 </w:instrText>
      </w:r>
      <w:r>
        <w:rPr>
          <w:rFonts w:ascii="Times New Roman" w:hAnsi="Times New Roman" w:cs="Times New Roman"/>
          <w:szCs w:val="21"/>
        </w:rPr>
        <w:fldChar w:fldCharType="separate"/>
      </w:r>
      <w:r>
        <w:rPr>
          <w:rFonts w:hint="default" w:ascii="Times New Roman" w:hAnsi="Times New Roman" w:eastAsia="黑体" w:cs="Times New Roman"/>
          <w:szCs w:val="28"/>
          <w:lang w:val="en-US" w:eastAsia="zh-CN"/>
        </w:rPr>
        <w:t xml:space="preserve">9.3 </w:t>
      </w:r>
      <w:r>
        <w:rPr>
          <w:rFonts w:hint="eastAsia"/>
          <w:lang w:val="en-US" w:eastAsia="zh-CN"/>
        </w:rPr>
        <w:t>竣工交付文档</w:t>
      </w:r>
      <w:r>
        <w:tab/>
      </w:r>
      <w:r>
        <w:rPr>
          <w:rFonts w:hint="eastAsia"/>
          <w:lang w:val="en-US" w:eastAsia="zh-CN"/>
        </w:rPr>
        <w:t>(</w:t>
      </w:r>
      <w:r>
        <w:fldChar w:fldCharType="begin"/>
      </w:r>
      <w:r>
        <w:instrText xml:space="preserve"> PAGEREF _Toc27079 \h </w:instrText>
      </w:r>
      <w:r>
        <w:fldChar w:fldCharType="separate"/>
      </w:r>
      <w:r>
        <w:t>60</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75340464">
      <w:pPr>
        <w:pStyle w:val="20"/>
        <w:tabs>
          <w:tab w:val="right" w:leader="dot" w:pos="8306"/>
          <w:tab w:val="clear" w:pos="8296"/>
        </w:tabs>
      </w:pPr>
      <w:r>
        <w:rPr>
          <w:rFonts w:hint="eastAsia" w:cs="Times New Roman"/>
          <w:szCs w:val="21"/>
          <w:lang w:val="en-US" w:eastAsia="zh-CN"/>
        </w:rPr>
        <w:t>附：</w:t>
      </w:r>
      <w:r>
        <w:rPr>
          <w:rFonts w:ascii="Times New Roman" w:hAnsi="Times New Roman" w:cs="Times New Roman"/>
          <w:szCs w:val="21"/>
        </w:rPr>
        <w:fldChar w:fldCharType="begin"/>
      </w:r>
      <w:r>
        <w:rPr>
          <w:rFonts w:ascii="Times New Roman" w:hAnsi="Times New Roman" w:cs="Times New Roman"/>
          <w:szCs w:val="21"/>
        </w:rPr>
        <w:instrText xml:space="preserve"> HYPERLINK \l _Toc20219 </w:instrText>
      </w:r>
      <w:r>
        <w:rPr>
          <w:rFonts w:ascii="Times New Roman" w:hAnsi="Times New Roman" w:cs="Times New Roman"/>
          <w:szCs w:val="21"/>
        </w:rPr>
        <w:fldChar w:fldCharType="separate"/>
      </w:r>
      <w:r>
        <w:rPr>
          <w:rFonts w:hint="eastAsia"/>
          <w:lang w:val="en-US" w:eastAsia="zh-CN"/>
        </w:rPr>
        <w:t>参考文献</w:t>
      </w:r>
      <w:r>
        <w:tab/>
      </w:r>
      <w:r>
        <w:rPr>
          <w:rFonts w:hint="eastAsia"/>
          <w:lang w:val="en-US" w:eastAsia="zh-CN"/>
        </w:rPr>
        <w:t>(</w:t>
      </w:r>
      <w:r>
        <w:fldChar w:fldCharType="begin"/>
      </w:r>
      <w:r>
        <w:instrText xml:space="preserve"> PAGEREF _Toc20219 \h </w:instrText>
      </w:r>
      <w:r>
        <w:fldChar w:fldCharType="separate"/>
      </w:r>
      <w:r>
        <w:t>61</w:t>
      </w:r>
      <w:r>
        <w:fldChar w:fldCharType="end"/>
      </w:r>
      <w:r>
        <w:rPr>
          <w:rFonts w:ascii="Times New Roman" w:hAnsi="Times New Roman" w:cs="Times New Roman"/>
          <w:szCs w:val="21"/>
        </w:rPr>
        <w:fldChar w:fldCharType="end"/>
      </w:r>
      <w:r>
        <w:rPr>
          <w:rFonts w:hint="eastAsia" w:cs="Times New Roman"/>
          <w:szCs w:val="21"/>
          <w:lang w:val="en-US" w:eastAsia="zh-CN"/>
        </w:rPr>
        <w:t>)</w:t>
      </w:r>
    </w:p>
    <w:p w14:paraId="0FCED21C">
      <w:pPr>
        <w:spacing w:line="360" w:lineRule="auto"/>
        <w:ind w:left="210" w:leftChars="100"/>
        <w:rPr>
          <w:rFonts w:ascii="Times New Roman" w:hAnsi="Times New Roman" w:cs="Times New Roman"/>
          <w:szCs w:val="21"/>
        </w:rPr>
      </w:pPr>
      <w:r>
        <w:rPr>
          <w:rFonts w:ascii="Times New Roman" w:hAnsi="Times New Roman" w:cs="Times New Roman"/>
          <w:szCs w:val="21"/>
        </w:rPr>
        <w:fldChar w:fldCharType="end"/>
      </w:r>
    </w:p>
    <w:p w14:paraId="2E87F6E5">
      <w:pPr>
        <w:spacing w:line="360" w:lineRule="auto"/>
        <w:ind w:left="210" w:leftChars="100"/>
        <w:rPr>
          <w:rFonts w:ascii="Times New Roman" w:hAnsi="Times New Roman" w:cs="Times New Roman"/>
          <w:szCs w:val="21"/>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939EAD1">
      <w:pPr>
        <w:pStyle w:val="2"/>
        <w:numPr>
          <w:ilvl w:val="0"/>
          <w:numId w:val="93"/>
        </w:numPr>
        <w:bidi w:val="0"/>
        <w:ind w:left="432" w:leftChars="0" w:hanging="432" w:firstLineChars="0"/>
      </w:pPr>
      <w:bookmarkStart w:id="211" w:name="_Toc32307"/>
      <w:bookmarkStart w:id="212" w:name="_Toc26200099"/>
      <w:bookmarkStart w:id="213" w:name="_Toc26171"/>
      <w:bookmarkStart w:id="214" w:name="_Toc27151499"/>
      <w:bookmarkStart w:id="215" w:name="_Toc23849"/>
      <w:bookmarkStart w:id="216" w:name="_Toc22162"/>
      <w:bookmarkStart w:id="217" w:name="_Toc3911"/>
      <w:bookmarkStart w:id="218" w:name="_Toc16625"/>
      <w:bookmarkStart w:id="219" w:name="_Toc12192"/>
      <w:bookmarkStart w:id="220" w:name="_Toc27181"/>
      <w:bookmarkStart w:id="221" w:name="_Toc3876"/>
      <w:bookmarkStart w:id="222" w:name="_Toc32569435"/>
      <w:bookmarkStart w:id="223" w:name="_Toc27831"/>
      <w:bookmarkStart w:id="224" w:name="_Toc28445"/>
      <w:bookmarkStart w:id="225" w:name="_Toc2031"/>
      <w:bookmarkStart w:id="226" w:name="_Toc11281"/>
      <w:bookmarkStart w:id="227" w:name="_Toc12070"/>
      <w:r>
        <w:t>总  则</w:t>
      </w:r>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0F0C17A8">
      <w:pPr>
        <w:pStyle w:val="38"/>
        <w:numPr>
          <w:ilvl w:val="0"/>
          <w:numId w:val="0"/>
        </w:numPr>
        <w:tabs>
          <w:tab w:val="left" w:pos="0"/>
        </w:tabs>
        <w:bidi w:val="0"/>
        <w:ind w:leftChars="0"/>
        <w:rPr>
          <w:rFonts w:hint="eastAsia"/>
          <w:i w:val="0"/>
          <w:iCs w:val="0"/>
          <w:lang w:val="en-US" w:eastAsia="zh-CN"/>
        </w:rPr>
      </w:pPr>
      <w:bookmarkStart w:id="228" w:name="_Toc26200100"/>
      <w:r>
        <w:rPr>
          <w:rFonts w:hint="default" w:ascii="Times New Roman" w:hAnsi="Times New Roman" w:eastAsia="宋体" w:cs="Times New Roman"/>
          <w:b/>
          <w:bCs/>
          <w:i w:val="0"/>
          <w:iCs w:val="0"/>
          <w:highlight w:val="none"/>
          <w:lang w:val="en-US" w:eastAsia="zh-CN"/>
        </w:rPr>
        <w:t>1.0.1</w:t>
      </w:r>
      <w:r>
        <w:rPr>
          <w:rFonts w:hint="eastAsia"/>
          <w:i w:val="0"/>
          <w:iCs w:val="0"/>
          <w:highlight w:val="none"/>
          <w:lang w:val="en-US" w:eastAsia="zh-CN"/>
        </w:rPr>
        <w:t xml:space="preserve">  </w:t>
      </w:r>
      <w:r>
        <w:rPr>
          <w:rFonts w:hint="eastAsia"/>
          <w:i w:val="0"/>
          <w:iCs w:val="0"/>
          <w:lang w:val="en-US" w:eastAsia="zh-CN"/>
        </w:rPr>
        <w:t>BIM技术作为我国施工行业创新发展的重要技术手段，其应用和推广在施工行业的科技进步与转型升级过程中占有不可估量的作用，同时也给施工行业的发展带来强大推力：支撑工业化建造、绿色施工和优化施工方案，促进工程项目实现精细化管理、提高工程质量、降低成本和安全风险，并可以大幅度提高工程项目的集成化水平和交付能力，显著提升工程项目的效率和效益。</w:t>
      </w:r>
      <w:r>
        <w:rPr>
          <w:rFonts w:hint="eastAsia"/>
          <w:i w:val="0"/>
          <w:iCs w:val="0"/>
          <w:highlight w:val="none"/>
          <w:vertAlign w:val="superscript"/>
          <w:lang w:val="en-US" w:eastAsia="zh-CN"/>
        </w:rPr>
        <w:t>[5]</w:t>
      </w:r>
      <w:r>
        <w:rPr>
          <w:rFonts w:hint="eastAsia"/>
          <w:i w:val="0"/>
          <w:iCs w:val="0"/>
          <w:lang w:val="en-US" w:eastAsia="zh-CN"/>
        </w:rPr>
        <w:t>因此，在核电站</w:t>
      </w:r>
      <w:r>
        <w:rPr>
          <w:rFonts w:hint="eastAsia"/>
          <w:i w:val="0"/>
          <w:iCs w:val="0"/>
          <w:highlight w:val="none"/>
          <w:lang w:val="en-US" w:eastAsia="zh-CN"/>
        </w:rPr>
        <w:t>核岛安装工程中</w:t>
      </w:r>
      <w:r>
        <w:rPr>
          <w:rFonts w:hint="eastAsia"/>
          <w:i w:val="0"/>
          <w:iCs w:val="0"/>
          <w:lang w:val="en-US" w:eastAsia="zh-CN"/>
        </w:rPr>
        <w:t>探索BIM技术应用，制定相应施工应用标准很有必要。</w:t>
      </w:r>
    </w:p>
    <w:p w14:paraId="55546AC6">
      <w:pPr>
        <w:pStyle w:val="38"/>
        <w:numPr>
          <w:ilvl w:val="0"/>
          <w:numId w:val="0"/>
        </w:numPr>
        <w:tabs>
          <w:tab w:val="left" w:pos="0"/>
        </w:tabs>
        <w:bidi w:val="0"/>
        <w:ind w:leftChars="0"/>
        <w:rPr>
          <w:rFonts w:hint="eastAsia"/>
          <w:i/>
          <w:iCs/>
          <w:highlight w:val="none"/>
          <w:lang w:val="en-US" w:eastAsia="zh-CN"/>
        </w:rPr>
      </w:pPr>
    </w:p>
    <w:p w14:paraId="54641931">
      <w:pPr>
        <w:widowControl/>
        <w:jc w:val="left"/>
        <w:rPr>
          <w:rFonts w:ascii="Times New Roman" w:hAnsi="Times New Roman" w:eastAsia="黑体"/>
          <w:b/>
          <w:bCs/>
          <w:kern w:val="44"/>
          <w:sz w:val="32"/>
          <w:szCs w:val="44"/>
        </w:rPr>
      </w:pPr>
      <w:r>
        <w:br w:type="page"/>
      </w:r>
    </w:p>
    <w:p w14:paraId="6A4F941A">
      <w:pPr>
        <w:pStyle w:val="2"/>
        <w:numPr>
          <w:ilvl w:val="0"/>
          <w:numId w:val="93"/>
        </w:numPr>
        <w:bidi w:val="0"/>
        <w:ind w:left="432" w:leftChars="0" w:hanging="432" w:firstLineChars="0"/>
      </w:pPr>
      <w:bookmarkStart w:id="229" w:name="_Toc15735"/>
      <w:bookmarkStart w:id="230" w:name="_Toc9498"/>
      <w:bookmarkStart w:id="231" w:name="_Toc18262"/>
      <w:bookmarkStart w:id="232" w:name="_Toc32569436"/>
      <w:bookmarkStart w:id="233" w:name="_Toc4209"/>
      <w:bookmarkStart w:id="234" w:name="_Toc16289"/>
      <w:bookmarkStart w:id="235" w:name="_Toc29801"/>
      <w:bookmarkStart w:id="236" w:name="_Toc15228"/>
      <w:bookmarkStart w:id="237" w:name="_Toc28326"/>
      <w:bookmarkStart w:id="238" w:name="_Toc3864"/>
      <w:bookmarkStart w:id="239" w:name="_Toc27242"/>
      <w:bookmarkStart w:id="240" w:name="_Toc22810"/>
      <w:bookmarkStart w:id="241" w:name="_Toc9020"/>
      <w:bookmarkStart w:id="242" w:name="_Toc21960"/>
      <w:bookmarkStart w:id="243" w:name="_Toc1609"/>
      <w:bookmarkStart w:id="244" w:name="_Toc27151500"/>
      <w:r>
        <w:t>术  语</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52B42083">
      <w:pPr>
        <w:pStyle w:val="38"/>
        <w:numPr>
          <w:ilvl w:val="0"/>
          <w:numId w:val="0"/>
        </w:numPr>
        <w:tabs>
          <w:tab w:val="left" w:pos="0"/>
        </w:tabs>
        <w:bidi w:val="0"/>
        <w:ind w:leftChars="0"/>
        <w:rPr>
          <w:rFonts w:hint="eastAsia"/>
        </w:rPr>
      </w:pPr>
      <w:r>
        <w:rPr>
          <w:rFonts w:hint="eastAsia"/>
          <w:b/>
          <w:bCs/>
          <w:lang w:val="en-US" w:eastAsia="zh-CN"/>
        </w:rPr>
        <w:t>2.0.1</w:t>
      </w:r>
      <w:r>
        <w:rPr>
          <w:rFonts w:hint="eastAsia"/>
          <w:b w:val="0"/>
          <w:bCs w:val="0"/>
          <w:lang w:val="en-US" w:eastAsia="zh-CN"/>
        </w:rPr>
        <w:t xml:space="preserve">  </w:t>
      </w:r>
      <w:r>
        <w:rPr>
          <w:rFonts w:hint="eastAsia"/>
        </w:rPr>
        <w:t>施工建筑信息模型</w:t>
      </w:r>
    </w:p>
    <w:p w14:paraId="652A275E">
      <w:pPr>
        <w:pStyle w:val="65"/>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lang w:val="en-US" w:eastAsia="zh-CN"/>
        </w:rPr>
        <w:t>本条术语摘自《建筑信息模型施工应用标准》GB/T 51235-2017，主要是为了区分设计、运维等其他阶段建筑信息模型，便于沟通和理解。</w:t>
      </w:r>
    </w:p>
    <w:p w14:paraId="1E8FFCB1">
      <w:pPr>
        <w:pStyle w:val="38"/>
        <w:numPr>
          <w:ilvl w:val="0"/>
          <w:numId w:val="0"/>
        </w:numPr>
        <w:tabs>
          <w:tab w:val="left" w:pos="0"/>
        </w:tabs>
        <w:bidi w:val="0"/>
        <w:ind w:leftChars="0"/>
        <w:rPr>
          <w:rFonts w:hint="eastAsia"/>
          <w:b/>
          <w:bCs/>
          <w:lang w:val="en-US" w:eastAsia="zh-CN"/>
        </w:rPr>
      </w:pPr>
      <w:r>
        <w:rPr>
          <w:rFonts w:hint="eastAsia"/>
          <w:b/>
          <w:bCs/>
          <w:lang w:val="en-US" w:eastAsia="zh-CN"/>
        </w:rPr>
        <w:t>2.0.11</w:t>
      </w:r>
      <w:r>
        <w:rPr>
          <w:rFonts w:hint="eastAsia"/>
          <w:b w:val="0"/>
          <w:bCs w:val="0"/>
          <w:lang w:val="en-US" w:eastAsia="zh-CN"/>
        </w:rPr>
        <w:t xml:space="preserve">  BIM协同管理平台</w:t>
      </w:r>
    </w:p>
    <w:p w14:paraId="6E547789">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i w:val="0"/>
          <w:iCs w:val="0"/>
          <w:lang w:val="en-US" w:eastAsia="zh-CN"/>
        </w:rPr>
      </w:pPr>
      <w:r>
        <w:rPr>
          <w:rFonts w:hint="eastAsia"/>
          <w:i w:val="0"/>
          <w:iCs w:val="0"/>
          <w:lang w:val="en-US" w:eastAsia="zh-CN"/>
        </w:rPr>
        <w:t>BIM技术与项目管理集成需要构建信息化平台系统，即建立统一的项目管理集成信息平台，与BIM平台通过标准接口和数据标准进行数据传递，及时获取BIM技术提供的业务数据；支持各参与方之间的信息传递与数据共享；支持对海量数据的获取、归纳与分析，协助项目管理决策；支持各参与方沟通、决策、审批、项目跟踪、通信等。</w:t>
      </w:r>
    </w:p>
    <w:p w14:paraId="27D78F5B">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i w:val="0"/>
          <w:iCs w:val="0"/>
          <w:lang w:val="en-US" w:eastAsia="zh-CN"/>
        </w:rPr>
      </w:pPr>
      <w:r>
        <w:rPr>
          <w:rFonts w:hint="eastAsia"/>
          <w:i w:val="0"/>
          <w:iCs w:val="0"/>
          <w:lang w:val="en-US" w:eastAsia="zh-CN"/>
        </w:rPr>
        <w:t>BIM协同管理平台一般具备三维模型的上传和轻量化显示、施工数据的导入和导出、业务流程的申请和审批等功能，可以是独立的施工管理软件，也可以是基于B/S架构开发的网页端数据引擎。在核电站</w:t>
      </w:r>
      <w:r>
        <w:rPr>
          <w:rFonts w:hint="eastAsia"/>
          <w:i w:val="0"/>
          <w:iCs w:val="0"/>
          <w:highlight w:val="none"/>
          <w:lang w:val="en-US" w:eastAsia="zh-CN"/>
        </w:rPr>
        <w:t>核岛安装工程</w:t>
      </w:r>
      <w:r>
        <w:rPr>
          <w:rFonts w:hint="eastAsia"/>
          <w:i w:val="0"/>
          <w:iCs w:val="0"/>
          <w:lang w:val="en-US" w:eastAsia="zh-CN"/>
        </w:rPr>
        <w:t>中，以网页端的BIM协同管理平台使用较为普遍，其主要优点是无需在计算机上安装特定的软件，操作简单，对用户使用较为友好。</w:t>
      </w:r>
    </w:p>
    <w:p w14:paraId="6F1033DE">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i w:val="0"/>
          <w:iCs w:val="0"/>
          <w:lang w:val="en-US" w:eastAsia="zh-CN"/>
        </w:rPr>
      </w:pPr>
    </w:p>
    <w:p w14:paraId="3DA4045B">
      <w:pPr>
        <w:rPr>
          <w:rFonts w:hint="eastAsia"/>
        </w:rPr>
      </w:pPr>
      <w:r>
        <w:rPr>
          <w:rFonts w:hint="eastAsia"/>
        </w:rPr>
        <w:br w:type="page"/>
      </w:r>
    </w:p>
    <w:p w14:paraId="67BCBB07">
      <w:pPr>
        <w:pStyle w:val="2"/>
        <w:bidi w:val="0"/>
        <w:rPr>
          <w:rFonts w:hint="eastAsia"/>
          <w:lang w:val="en-US" w:eastAsia="zh-CN"/>
        </w:rPr>
      </w:pPr>
      <w:bookmarkStart w:id="245" w:name="_Toc13741"/>
      <w:bookmarkStart w:id="246" w:name="_Toc6638"/>
      <w:bookmarkStart w:id="247" w:name="_Toc11948"/>
      <w:bookmarkStart w:id="248" w:name="_Toc21325"/>
      <w:bookmarkStart w:id="249" w:name="_Toc22128"/>
      <w:bookmarkStart w:id="250" w:name="_Toc27964"/>
      <w:bookmarkStart w:id="251" w:name="_Toc4383"/>
      <w:r>
        <w:t>基本规定</w:t>
      </w:r>
      <w:bookmarkEnd w:id="245"/>
      <w:bookmarkEnd w:id="246"/>
      <w:bookmarkEnd w:id="247"/>
      <w:bookmarkEnd w:id="248"/>
      <w:bookmarkEnd w:id="249"/>
      <w:bookmarkEnd w:id="250"/>
      <w:bookmarkEnd w:id="251"/>
    </w:p>
    <w:p w14:paraId="7F5B6A73">
      <w:pPr>
        <w:pStyle w:val="3"/>
        <w:bidi w:val="0"/>
        <w:rPr>
          <w:rFonts w:hint="default"/>
          <w:lang w:val="en-US" w:eastAsia="zh-CN"/>
        </w:rPr>
      </w:pPr>
      <w:bookmarkStart w:id="252" w:name="_Toc5007"/>
      <w:bookmarkStart w:id="253" w:name="_Toc25186"/>
      <w:bookmarkStart w:id="254" w:name="_Toc24471"/>
      <w:bookmarkStart w:id="255" w:name="_Toc1466"/>
      <w:bookmarkStart w:id="256" w:name="_Toc21467"/>
      <w:bookmarkStart w:id="257" w:name="_Toc5951"/>
      <w:bookmarkStart w:id="258" w:name="_Toc4181"/>
      <w:r>
        <w:rPr>
          <w:rFonts w:hint="eastAsia"/>
          <w:lang w:val="en-US" w:eastAsia="zh-CN"/>
        </w:rPr>
        <w:t>一般规定</w:t>
      </w:r>
      <w:bookmarkEnd w:id="252"/>
      <w:bookmarkEnd w:id="253"/>
      <w:bookmarkEnd w:id="254"/>
      <w:bookmarkEnd w:id="255"/>
      <w:bookmarkEnd w:id="256"/>
      <w:bookmarkEnd w:id="257"/>
      <w:bookmarkEnd w:id="258"/>
    </w:p>
    <w:p w14:paraId="5802D7C9">
      <w:pPr>
        <w:pStyle w:val="38"/>
        <w:numPr>
          <w:ilvl w:val="0"/>
          <w:numId w:val="0"/>
        </w:numPr>
        <w:tabs>
          <w:tab w:val="left" w:pos="0"/>
        </w:tabs>
        <w:bidi w:val="0"/>
        <w:ind w:leftChars="0"/>
        <w:rPr>
          <w:rFonts w:hint="default"/>
          <w:b/>
          <w:bCs/>
          <w:i w:val="0"/>
          <w:iCs w:val="0"/>
          <w:lang w:val="en-US" w:eastAsia="zh-CN"/>
        </w:rPr>
      </w:pPr>
      <w:r>
        <w:rPr>
          <w:rFonts w:hint="eastAsia"/>
          <w:b/>
          <w:bCs/>
          <w:i w:val="0"/>
          <w:iCs w:val="0"/>
          <w:lang w:val="en-US" w:eastAsia="zh-CN"/>
        </w:rPr>
        <w:t>3.1.1</w:t>
      </w:r>
      <w:r>
        <w:rPr>
          <w:rFonts w:hint="eastAsia"/>
          <w:i w:val="0"/>
          <w:iCs w:val="0"/>
          <w:lang w:val="en-US" w:eastAsia="zh-CN"/>
        </w:rPr>
        <w:t xml:space="preserve">  </w:t>
      </w:r>
      <w:r>
        <w:rPr>
          <w:rFonts w:hint="eastAsia"/>
          <w:i w:val="0"/>
          <w:iCs w:val="0"/>
          <w:highlight w:val="none"/>
          <w:lang w:val="en-US" w:eastAsia="zh-CN"/>
        </w:rPr>
        <w:t>不同的核电项目施工单位、施工总承包单位、建设单位对BIM应用的要求不同，施工BIM应用的目标和范围需要综合考虑项目特点、合同要求和工程项目相关方BIM应用水平等外部环境和条件。</w:t>
      </w:r>
    </w:p>
    <w:p w14:paraId="30328E54">
      <w:pPr>
        <w:pStyle w:val="38"/>
        <w:rPr>
          <w:rFonts w:hint="default" w:eastAsia="宋体"/>
          <w:lang w:val="en-US" w:eastAsia="zh-CN"/>
        </w:rPr>
      </w:pPr>
      <w:r>
        <w:rPr>
          <w:rFonts w:hint="eastAsia"/>
          <w:b/>
          <w:bCs/>
          <w:lang w:val="en-US" w:eastAsia="zh-CN"/>
        </w:rPr>
        <w:t>3.1.2</w:t>
      </w:r>
      <w:r>
        <w:rPr>
          <w:rFonts w:hint="eastAsia"/>
          <w:lang w:val="en-US" w:eastAsia="zh-CN"/>
        </w:rPr>
        <w:t xml:space="preserve">  核电站核岛安装工程包括深化设计、技术准备、预制加工、施工过程、竣工交付5个阶段，施工BIM应用是这5个阶段BIM应用的统称。各项目需要在考虑项目特点、合同要求及工程项目相关方应用水平的情况下，确定在项目施工全过程或者某些环节或任务开展BIM应用，酌情制定BIM应用策划并实施，相关规定在本标准第3至9章节给出。</w:t>
      </w:r>
    </w:p>
    <w:p w14:paraId="7F17651D">
      <w:pPr>
        <w:pStyle w:val="38"/>
        <w:rPr>
          <w:rFonts w:hint="default" w:eastAsia="宋体"/>
          <w:lang w:val="en-US" w:eastAsia="zh-CN"/>
        </w:rPr>
      </w:pPr>
      <w:r>
        <w:rPr>
          <w:rFonts w:hint="eastAsia"/>
          <w:b/>
          <w:bCs/>
          <w:lang w:val="en-US" w:eastAsia="zh-CN"/>
        </w:rPr>
        <w:t>3.1.4</w:t>
      </w:r>
      <w:r>
        <w:rPr>
          <w:rFonts w:hint="eastAsia"/>
          <w:lang w:val="en-US" w:eastAsia="zh-CN"/>
        </w:rPr>
        <w:t xml:space="preserve">  在核电站核岛安装工程应用BIM技术，以及如何应用BIM技术，不是强制性规定，所以应通过事先约定的方式，在工程项目相关方合作开展施工BIM应用前明确数据交换、共享的方式，以及协同工作的职责和分工。</w:t>
      </w:r>
    </w:p>
    <w:p w14:paraId="52707119">
      <w:pPr>
        <w:pStyle w:val="38"/>
        <w:rPr>
          <w:rFonts w:hint="eastAsia"/>
        </w:rPr>
      </w:pPr>
      <w:r>
        <w:rPr>
          <w:rFonts w:hint="eastAsia"/>
          <w:b/>
          <w:bCs/>
          <w:lang w:val="en-US" w:eastAsia="zh-CN"/>
        </w:rPr>
        <w:t>3.1.7</w:t>
      </w:r>
      <w:r>
        <w:rPr>
          <w:rFonts w:hint="eastAsia"/>
          <w:lang w:val="en-US" w:eastAsia="zh-CN"/>
        </w:rPr>
        <w:t xml:space="preserve">  </w:t>
      </w:r>
      <w:r>
        <w:rPr>
          <w:rFonts w:hint="eastAsia"/>
        </w:rPr>
        <w:t>核电站核岛安装施工往往使用信息化施工管理平台来管理施工过程中的各种数据，如工程对象身份信息、定位信息、系统信息、技术信息、生产信息等。BIM软件能够与工程项目信息化施工管理平台集成或融合，会大大提高数据传输的效率，降低数据获取的投入。</w:t>
      </w:r>
    </w:p>
    <w:p w14:paraId="34FE8833">
      <w:pPr>
        <w:pStyle w:val="3"/>
        <w:bidi w:val="0"/>
        <w:rPr>
          <w:rFonts w:hint="eastAsia"/>
          <w:lang w:val="en-US" w:eastAsia="zh-CN"/>
        </w:rPr>
      </w:pPr>
      <w:bookmarkStart w:id="259" w:name="_Toc32178"/>
      <w:bookmarkStart w:id="260" w:name="_Toc8401"/>
      <w:bookmarkStart w:id="261" w:name="_Toc4593"/>
      <w:bookmarkStart w:id="262" w:name="_Toc27435"/>
      <w:bookmarkStart w:id="263" w:name="_Toc4863"/>
      <w:bookmarkStart w:id="264" w:name="_Toc3860"/>
      <w:bookmarkStart w:id="265" w:name="_Toc11797"/>
      <w:r>
        <w:rPr>
          <w:rFonts w:hint="eastAsia"/>
          <w:lang w:val="en-US" w:eastAsia="zh-CN"/>
        </w:rPr>
        <w:t>施工BIM应用策划</w:t>
      </w:r>
      <w:bookmarkEnd w:id="259"/>
      <w:bookmarkEnd w:id="260"/>
      <w:bookmarkEnd w:id="261"/>
      <w:bookmarkEnd w:id="262"/>
      <w:bookmarkEnd w:id="263"/>
      <w:bookmarkEnd w:id="264"/>
      <w:bookmarkEnd w:id="265"/>
    </w:p>
    <w:p w14:paraId="417A6D56">
      <w:pPr>
        <w:pStyle w:val="38"/>
        <w:rPr>
          <w:rFonts w:hint="default" w:eastAsia="宋体"/>
          <w:lang w:val="en-US" w:eastAsia="zh-CN"/>
        </w:rPr>
      </w:pPr>
      <w:r>
        <w:rPr>
          <w:rFonts w:hint="eastAsia"/>
          <w:b/>
          <w:bCs/>
          <w:lang w:val="en-US" w:eastAsia="zh-CN"/>
        </w:rPr>
        <w:t>3.2.1</w:t>
      </w:r>
      <w:r>
        <w:rPr>
          <w:rFonts w:hint="eastAsia"/>
          <w:lang w:val="en-US" w:eastAsia="zh-CN"/>
        </w:rPr>
        <w:t xml:space="preserve">  </w:t>
      </w:r>
      <w:r>
        <w:rPr>
          <w:rFonts w:hint="eastAsia"/>
          <w:i w:val="0"/>
          <w:iCs w:val="0"/>
          <w:lang w:val="en-US" w:eastAsia="zh-CN"/>
        </w:rPr>
        <w:t>项目管理需求是施工单位对项目实施管理的重要风向标，是编制项目BIM实施方案的基础和重要依据。项目管理需求的确定应结合项目特点，根据合同和施工企业的管理要求、BIM技术掌握情况，明确项目管理目标和工作范围，分析项目重点难点以及计划采取的措施，确定项目各项管理原则、BIM工作深度和BIM工作开展进展。</w:t>
      </w:r>
      <w:r>
        <w:rPr>
          <w:rFonts w:hint="eastAsia"/>
          <w:i w:val="0"/>
          <w:iCs w:val="0"/>
          <w:highlight w:val="none"/>
          <w:vertAlign w:val="superscript"/>
          <w:lang w:val="en-US" w:eastAsia="zh-CN"/>
        </w:rPr>
        <w:t>[5]</w:t>
      </w:r>
    </w:p>
    <w:p w14:paraId="00CBDCA3">
      <w:pPr>
        <w:pStyle w:val="38"/>
        <w:rPr>
          <w:rFonts w:hint="eastAsia"/>
          <w:i w:val="0"/>
          <w:iCs w:val="0"/>
          <w:lang w:val="en-US" w:eastAsia="zh-CN"/>
        </w:rPr>
      </w:pPr>
      <w:r>
        <w:rPr>
          <w:rFonts w:hint="eastAsia"/>
          <w:b/>
          <w:bCs/>
          <w:lang w:val="en-US" w:eastAsia="zh-CN"/>
        </w:rPr>
        <w:t>3.2.2</w:t>
      </w:r>
      <w:r>
        <w:rPr>
          <w:rFonts w:hint="eastAsia"/>
          <w:lang w:val="en-US" w:eastAsia="zh-CN"/>
        </w:rPr>
        <w:t xml:space="preserve">  </w:t>
      </w:r>
      <w:r>
        <w:rPr>
          <w:rFonts w:hint="eastAsia"/>
          <w:i w:val="0"/>
          <w:iCs w:val="0"/>
          <w:lang w:val="en-US" w:eastAsia="zh-CN"/>
        </w:rPr>
        <w:t>工程建设项目管理中，有效及充分的方案策划是项目成功的重要保证，也是提升推进精细化管理的有效途径。施工BIM应用策划的编制过程是专业知识的精简集成和有效组织，实质上既是知识的有效管理，也是知识的有效传承。</w:t>
      </w:r>
    </w:p>
    <w:p w14:paraId="217072A9">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宋体"/>
          <w:i w:val="0"/>
          <w:iCs w:val="0"/>
          <w:lang w:val="en-US" w:eastAsia="zh-CN"/>
        </w:rPr>
      </w:pPr>
      <w:r>
        <w:rPr>
          <w:rFonts w:hint="eastAsia"/>
          <w:i w:val="0"/>
          <w:iCs w:val="0"/>
          <w:lang w:val="en-US" w:eastAsia="zh-CN"/>
        </w:rPr>
        <w:t>目前在核电建设项目中应用BIM技术不是法律或标准规范的强制性要求，在核电站核岛安装工程中应用BIM技术通常是施工单位的自发行为，施工BIM应用策划理应由施工单位编制。施工BIM应用策划的编制是为了推进施工阶段项目管理质量提升、推动BIM应用、使BIM管理工作更加规范，各方职责更加明确、规则更加统一，以实现对施工的精细化管控。</w:t>
      </w:r>
      <w:r>
        <w:rPr>
          <w:rFonts w:hint="eastAsia"/>
          <w:i w:val="0"/>
          <w:iCs w:val="0"/>
          <w:highlight w:val="none"/>
          <w:vertAlign w:val="superscript"/>
          <w:lang w:val="en-US" w:eastAsia="zh-CN"/>
        </w:rPr>
        <w:t>[5]</w:t>
      </w:r>
    </w:p>
    <w:p w14:paraId="4407EA6F">
      <w:pPr>
        <w:pStyle w:val="38"/>
        <w:rPr>
          <w:rFonts w:hint="default"/>
          <w:i w:val="0"/>
          <w:iCs w:val="0"/>
          <w:lang w:val="en-US" w:eastAsia="zh-CN"/>
        </w:rPr>
      </w:pPr>
      <w:r>
        <w:rPr>
          <w:rFonts w:hint="eastAsia"/>
          <w:b/>
          <w:bCs/>
          <w:lang w:val="en-US" w:eastAsia="zh-CN"/>
        </w:rPr>
        <w:t>3.2.3、3.2.4</w:t>
      </w:r>
      <w:r>
        <w:rPr>
          <w:rFonts w:hint="eastAsia"/>
          <w:lang w:val="en-US" w:eastAsia="zh-CN"/>
        </w:rPr>
        <w:t xml:space="preserve">  </w:t>
      </w:r>
      <w:r>
        <w:rPr>
          <w:rFonts w:hint="eastAsia"/>
          <w:i w:val="0"/>
          <w:iCs w:val="0"/>
          <w:lang w:val="en-US" w:eastAsia="zh-CN"/>
        </w:rPr>
        <w:t>BIM管理人员的主要职责包括：</w:t>
      </w:r>
    </w:p>
    <w:p w14:paraId="7882A889">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制定BIM实施应用方案；</w:t>
      </w:r>
    </w:p>
    <w:p w14:paraId="12857697">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统一BIM实施标准；</w:t>
      </w:r>
    </w:p>
    <w:p w14:paraId="164746AC">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制订BIM工作计划；</w:t>
      </w:r>
    </w:p>
    <w:p w14:paraId="2697610B">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监督、检查</w:t>
      </w:r>
      <w:r>
        <w:rPr>
          <w:rFonts w:hint="eastAsia"/>
          <w:i w:val="0"/>
          <w:iCs w:val="0"/>
          <w:lang w:val="en-US" w:eastAsia="zh-CN"/>
        </w:rPr>
        <w:t>施工</w:t>
      </w:r>
      <w:r>
        <w:rPr>
          <w:rFonts w:hint="default"/>
          <w:i w:val="0"/>
          <w:iCs w:val="0"/>
          <w:lang w:val="en-US" w:eastAsia="zh-CN"/>
        </w:rPr>
        <w:t>BIM的执行情况与进展；</w:t>
      </w:r>
    </w:p>
    <w:p w14:paraId="036A9C5C">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负责</w:t>
      </w:r>
      <w:r>
        <w:rPr>
          <w:rFonts w:hint="eastAsia"/>
          <w:i w:val="0"/>
          <w:iCs w:val="0"/>
          <w:lang w:val="en-US" w:eastAsia="zh-CN"/>
        </w:rPr>
        <w:t>工程</w:t>
      </w:r>
      <w:r>
        <w:rPr>
          <w:rFonts w:hint="default"/>
          <w:i w:val="0"/>
          <w:iCs w:val="0"/>
          <w:lang w:val="en-US" w:eastAsia="zh-CN"/>
        </w:rPr>
        <w:t>项目的资源调配；</w:t>
      </w:r>
    </w:p>
    <w:p w14:paraId="5245FE11">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管理与协调各专业BIM工作；</w:t>
      </w:r>
    </w:p>
    <w:p w14:paraId="7E032A38">
      <w:pPr>
        <w:pStyle w:val="38"/>
        <w:keepNext w:val="0"/>
        <w:keepLines w:val="0"/>
        <w:pageBreakBefore w:val="0"/>
        <w:widowControl w:val="0"/>
        <w:numPr>
          <w:ilvl w:val="0"/>
          <w:numId w:val="94"/>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统筹管理、审核各</w:t>
      </w:r>
      <w:r>
        <w:rPr>
          <w:rFonts w:hint="eastAsia"/>
          <w:i w:val="0"/>
          <w:iCs w:val="0"/>
          <w:lang w:val="en-US" w:eastAsia="zh-CN"/>
        </w:rPr>
        <w:t>项</w:t>
      </w:r>
      <w:r>
        <w:rPr>
          <w:rFonts w:hint="default"/>
          <w:i w:val="0"/>
          <w:iCs w:val="0"/>
          <w:lang w:val="en-US" w:eastAsia="zh-CN"/>
        </w:rPr>
        <w:t>BIM成果。</w:t>
      </w:r>
    </w:p>
    <w:p w14:paraId="4931A413">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i w:val="0"/>
          <w:iCs w:val="0"/>
          <w:lang w:val="en-US" w:eastAsia="zh-CN"/>
        </w:rPr>
      </w:pPr>
      <w:r>
        <w:rPr>
          <w:rFonts w:hint="eastAsia"/>
          <w:i w:val="0"/>
          <w:iCs w:val="0"/>
          <w:lang w:val="en-US" w:eastAsia="zh-CN"/>
        </w:rPr>
        <w:t>核电站核岛安装工程的专业BIM工程师主要包括管道安装、通风空调安装、电气安装、自动化控制仪表安装、机械安装、主设备安装、软件开发等专业方向，主要职责包括：</w:t>
      </w:r>
    </w:p>
    <w:p w14:paraId="2D93163F">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搭建各专业</w:t>
      </w:r>
      <w:r>
        <w:rPr>
          <w:rFonts w:hint="eastAsia"/>
          <w:i w:val="0"/>
          <w:iCs w:val="0"/>
          <w:lang w:val="en-US" w:eastAsia="zh-CN"/>
        </w:rPr>
        <w:t>BIM</w:t>
      </w:r>
      <w:r>
        <w:rPr>
          <w:rFonts w:hint="default"/>
          <w:i w:val="0"/>
          <w:iCs w:val="0"/>
          <w:lang w:val="en-US" w:eastAsia="zh-CN"/>
        </w:rPr>
        <w:t>模型，并进行优化；</w:t>
      </w:r>
    </w:p>
    <w:p w14:paraId="3C5F2AB6">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根据BIM模型</w:t>
      </w:r>
      <w:r>
        <w:rPr>
          <w:rFonts w:hint="eastAsia"/>
          <w:i w:val="0"/>
          <w:iCs w:val="0"/>
          <w:lang w:val="en-US" w:eastAsia="zh-CN"/>
        </w:rPr>
        <w:t>统计</w:t>
      </w:r>
      <w:r>
        <w:rPr>
          <w:rFonts w:hint="default"/>
          <w:i w:val="0"/>
          <w:iCs w:val="0"/>
          <w:highlight w:val="none"/>
          <w:lang w:val="en-US" w:eastAsia="zh-CN"/>
        </w:rPr>
        <w:t>工程量</w:t>
      </w:r>
      <w:r>
        <w:rPr>
          <w:rFonts w:hint="eastAsia"/>
          <w:i w:val="0"/>
          <w:iCs w:val="0"/>
          <w:highlight w:val="none"/>
          <w:lang w:val="en-US" w:eastAsia="zh-CN"/>
        </w:rPr>
        <w:t>、材料量</w:t>
      </w:r>
      <w:r>
        <w:rPr>
          <w:rFonts w:hint="default"/>
          <w:i w:val="0"/>
          <w:iCs w:val="0"/>
          <w:lang w:val="en-US" w:eastAsia="zh-CN"/>
        </w:rPr>
        <w:t>；</w:t>
      </w:r>
    </w:p>
    <w:p w14:paraId="5E97C921">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利用BIM技术优化施工方案等；</w:t>
      </w:r>
    </w:p>
    <w:p w14:paraId="4356FC95">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default"/>
          <w:i w:val="0"/>
          <w:iCs w:val="0"/>
          <w:lang w:val="en-US" w:eastAsia="zh-CN"/>
        </w:rPr>
        <w:t>模型维护与更新；</w:t>
      </w:r>
    </w:p>
    <w:p w14:paraId="3709BEFA">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i w:val="0"/>
          <w:iCs w:val="0"/>
          <w:lang w:val="en-US" w:eastAsia="zh-CN"/>
        </w:rPr>
      </w:pPr>
      <w:r>
        <w:rPr>
          <w:rFonts w:hint="eastAsia"/>
          <w:i w:val="0"/>
          <w:iCs w:val="0"/>
          <w:lang w:val="en-US" w:eastAsia="zh-CN"/>
        </w:rPr>
        <w:t>搭建BIM平台，并进行数据维护；</w:t>
      </w:r>
    </w:p>
    <w:p w14:paraId="3E6C67A0">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eastAsia="宋体"/>
          <w:i w:val="0"/>
          <w:iCs w:val="0"/>
          <w:lang w:val="en-US" w:eastAsia="zh-CN"/>
        </w:rPr>
      </w:pPr>
      <w:r>
        <w:rPr>
          <w:rFonts w:hint="default"/>
          <w:i w:val="0"/>
          <w:iCs w:val="0"/>
          <w:lang w:val="en-US" w:eastAsia="zh-CN"/>
        </w:rPr>
        <w:t>采集、整理</w:t>
      </w:r>
      <w:r>
        <w:rPr>
          <w:rFonts w:hint="eastAsia"/>
          <w:i w:val="0"/>
          <w:iCs w:val="0"/>
          <w:lang w:val="en-US" w:eastAsia="zh-CN"/>
        </w:rPr>
        <w:t>施工数据</w:t>
      </w:r>
      <w:r>
        <w:rPr>
          <w:rFonts w:hint="default"/>
          <w:i w:val="0"/>
          <w:iCs w:val="0"/>
          <w:lang w:val="en-US" w:eastAsia="zh-CN"/>
        </w:rPr>
        <w:t>与BIM模型进行关联；</w:t>
      </w:r>
    </w:p>
    <w:p w14:paraId="56FCE08D">
      <w:pPr>
        <w:pStyle w:val="38"/>
        <w:keepNext w:val="0"/>
        <w:keepLines w:val="0"/>
        <w:pageBreakBefore w:val="0"/>
        <w:widowControl w:val="0"/>
        <w:numPr>
          <w:ilvl w:val="0"/>
          <w:numId w:val="95"/>
        </w:numPr>
        <w:kinsoku/>
        <w:wordWrap/>
        <w:overflowPunct/>
        <w:topLinePunct w:val="0"/>
        <w:autoSpaceDE/>
        <w:autoSpaceDN/>
        <w:bidi w:val="0"/>
        <w:adjustRightInd/>
        <w:snapToGrid/>
        <w:ind w:left="0" w:leftChars="0" w:firstLine="480" w:firstLineChars="200"/>
        <w:textAlignment w:val="auto"/>
        <w:rPr>
          <w:rFonts w:hint="default" w:eastAsia="宋体"/>
          <w:lang w:val="en-US" w:eastAsia="zh-CN"/>
        </w:rPr>
      </w:pPr>
      <w:r>
        <w:rPr>
          <w:rFonts w:hint="default"/>
          <w:i w:val="0"/>
          <w:iCs w:val="0"/>
          <w:lang w:val="en-US" w:eastAsia="zh-CN"/>
        </w:rPr>
        <w:t>提交各</w:t>
      </w:r>
      <w:r>
        <w:rPr>
          <w:rFonts w:hint="eastAsia"/>
          <w:i w:val="0"/>
          <w:iCs w:val="0"/>
          <w:lang w:val="en-US" w:eastAsia="zh-CN"/>
        </w:rPr>
        <w:t>项</w:t>
      </w:r>
      <w:r>
        <w:rPr>
          <w:rFonts w:hint="default"/>
          <w:i w:val="0"/>
          <w:iCs w:val="0"/>
          <w:lang w:val="en-US" w:eastAsia="zh-CN"/>
        </w:rPr>
        <w:t>BIM应用成果。</w:t>
      </w:r>
    </w:p>
    <w:p w14:paraId="1AE21065">
      <w:pPr>
        <w:pStyle w:val="38"/>
        <w:rPr>
          <w:rFonts w:hint="eastAsia"/>
          <w:i w:val="0"/>
          <w:iCs w:val="0"/>
          <w:highlight w:val="none"/>
          <w:lang w:val="en-US" w:eastAsia="zh-CN"/>
        </w:rPr>
      </w:pPr>
      <w:r>
        <w:rPr>
          <w:rFonts w:hint="eastAsia"/>
          <w:b/>
          <w:bCs/>
          <w:lang w:val="en-US" w:eastAsia="zh-CN"/>
        </w:rPr>
        <w:t>3.2.5</w:t>
      </w:r>
      <w:r>
        <w:rPr>
          <w:rFonts w:hint="eastAsia"/>
          <w:lang w:val="en-US" w:eastAsia="zh-CN"/>
        </w:rPr>
        <w:t xml:space="preserve">  </w:t>
      </w:r>
      <w:r>
        <w:rPr>
          <w:rFonts w:hint="eastAsia"/>
          <w:i w:val="0"/>
          <w:iCs w:val="0"/>
          <w:highlight w:val="none"/>
          <w:lang w:val="en-US" w:eastAsia="zh-CN"/>
        </w:rPr>
        <w:t>核电厂采用对象分解结构（Project Breakdown Structure，PBS）对工程对象进行分解，即核电厂中每个工程对象都可以按照机组类、厂房类、系统类、子系统类、设备类、工艺管线类、通风管线类、电缆类等以线分类的方式进行分类。核电厂的每个工程对象按照PBS结构并遵循《电厂标识系统编码标准》GB/T 50549都有一个唯一的编码标识。模型创建软件建立的三维模型需要匹配核电厂的对象分解结构，并按照工程对象的编码进行命名。</w:t>
      </w:r>
    </w:p>
    <w:p w14:paraId="6460D7D8">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i w:val="0"/>
          <w:iCs w:val="0"/>
          <w:highlight w:val="none"/>
          <w:lang w:val="en-US" w:eastAsia="zh-CN"/>
        </w:rPr>
      </w:pPr>
      <w:r>
        <w:rPr>
          <w:rFonts w:hint="eastAsia"/>
          <w:i w:val="0"/>
          <w:iCs w:val="0"/>
          <w:highlight w:val="none"/>
          <w:lang w:val="en-US" w:eastAsia="zh-CN"/>
        </w:rPr>
        <w:t>施工模拟是核电站核岛安装工程最常用的一项BIM技术应用，在施工BIM应用策划中需要明确施工模拟的软件，确保项目施工模拟过程及输出成果的统一。</w:t>
      </w:r>
    </w:p>
    <w:p w14:paraId="2DE630B4">
      <w:pPr>
        <w:pStyle w:val="38"/>
        <w:rPr>
          <w:rFonts w:hint="default" w:eastAsia="宋体"/>
          <w:lang w:val="en-US" w:eastAsia="zh-CN"/>
        </w:rPr>
      </w:pPr>
      <w:r>
        <w:rPr>
          <w:rFonts w:hint="eastAsia"/>
          <w:i w:val="0"/>
          <w:iCs w:val="0"/>
          <w:highlight w:val="none"/>
          <w:lang w:val="en-US" w:eastAsia="zh-CN"/>
        </w:rPr>
        <w:t>在核电站核岛安装工程施工BIM应用中，施工管理软件通常为BIM平台。为了降低BIM平台的运算负担，三维模型上传至BIM平台需要轻量化处理。人员权限分级管理能够提高应用的安全性、优化资源管理、提升管理效率。</w:t>
      </w:r>
    </w:p>
    <w:p w14:paraId="55634150">
      <w:pPr>
        <w:pStyle w:val="38"/>
        <w:rPr>
          <w:rFonts w:hint="default" w:eastAsia="宋体"/>
          <w:lang w:val="en-US" w:eastAsia="zh-CN"/>
        </w:rPr>
      </w:pPr>
      <w:r>
        <w:rPr>
          <w:rFonts w:hint="eastAsia"/>
          <w:b/>
          <w:bCs/>
          <w:lang w:val="en-US" w:eastAsia="zh-CN"/>
        </w:rPr>
        <w:t>3.2.6</w:t>
      </w:r>
      <w:r>
        <w:rPr>
          <w:rFonts w:hint="eastAsia"/>
          <w:lang w:val="en-US" w:eastAsia="zh-CN"/>
        </w:rPr>
        <w:t xml:space="preserve">  不同版本的软件其功能、成果效果等有所不同，为了达到施工BIM应用的目标，需要考虑合适的软件版本。实际项目应用中存在某款软件，高版本软件形成的文件无法在低版本软件中打开的情况，因此，需要在施工BIM应用策划中明确BIM软件的版本，便于工程项目相关方信息的有效共享。</w:t>
      </w:r>
    </w:p>
    <w:p w14:paraId="618FE75D">
      <w:pPr>
        <w:pStyle w:val="38"/>
        <w:rPr>
          <w:rFonts w:hint="default" w:eastAsia="宋体"/>
          <w:lang w:val="en-US" w:eastAsia="zh-CN"/>
        </w:rPr>
      </w:pPr>
      <w:r>
        <w:rPr>
          <w:rFonts w:hint="eastAsia"/>
          <w:b/>
          <w:bCs/>
          <w:lang w:val="en-US" w:eastAsia="zh-CN"/>
        </w:rPr>
        <w:t>3.2.7</w:t>
      </w:r>
      <w:r>
        <w:rPr>
          <w:rFonts w:hint="eastAsia"/>
          <w:lang w:val="en-US" w:eastAsia="zh-CN"/>
        </w:rPr>
        <w:t xml:space="preserve">  当选定好施工BIM应用的软件后，软件本身的功能有可能不满足工程项目的需求，此时需要自定义开发相应的软件或插件，例如，开发快速建模插件、模型出图工具、BIM平台各项功能模块等。</w:t>
      </w:r>
    </w:p>
    <w:p w14:paraId="4622FD7C">
      <w:pPr>
        <w:pStyle w:val="38"/>
        <w:rPr>
          <w:rFonts w:hint="default" w:eastAsia="宋体"/>
          <w:lang w:val="en-US" w:eastAsia="zh-CN"/>
        </w:rPr>
      </w:pPr>
      <w:r>
        <w:rPr>
          <w:rFonts w:hint="eastAsia"/>
          <w:b/>
          <w:bCs/>
          <w:lang w:val="en-US" w:eastAsia="zh-CN"/>
        </w:rPr>
        <w:t>3.2.8</w:t>
      </w:r>
      <w:r>
        <w:rPr>
          <w:rFonts w:hint="eastAsia"/>
          <w:lang w:val="en-US" w:eastAsia="zh-CN"/>
        </w:rPr>
        <w:t xml:space="preserve">  硬件是指BIM实施过程中BIM模型创建与应用的计算机，主要指普通计算机、工作站、服务器。普通计算机主要用于BIM模型创建、BIM相关文档的编制、BIM平台的应用和相关数据的处理等；工作站主要用于BIM模型创建、效果渲染、动画模拟等图形处理，以及BIM平台和相关软件的开发等；服务器主要用于BIM平台的部署和数据的存储。</w:t>
      </w:r>
    </w:p>
    <w:p w14:paraId="4FBF51DB">
      <w:pPr>
        <w:pStyle w:val="38"/>
        <w:rPr>
          <w:rFonts w:hint="eastAsia"/>
        </w:rPr>
      </w:pPr>
      <w:r>
        <w:rPr>
          <w:rFonts w:hint="eastAsia"/>
          <w:b/>
          <w:bCs/>
          <w:lang w:val="en-US" w:eastAsia="zh-CN"/>
        </w:rPr>
        <w:t>3.2.10</w:t>
      </w:r>
      <w:r>
        <w:rPr>
          <w:rFonts w:hint="eastAsia"/>
          <w:lang w:val="en-US" w:eastAsia="zh-CN"/>
        </w:rPr>
        <w:t xml:space="preserve">  施工BIM应用策划制定完成后不是一成不变的，当在实际实施过程中施工BIM应用的目标、范围和内容有变化时，施工BIM应用策划也要相应的更新和调整。</w:t>
      </w:r>
    </w:p>
    <w:p w14:paraId="2B8D5ABC">
      <w:pPr>
        <w:pStyle w:val="3"/>
        <w:bidi w:val="0"/>
        <w:rPr>
          <w:rFonts w:hint="eastAsia"/>
          <w:lang w:val="en-US" w:eastAsia="zh-CN"/>
        </w:rPr>
      </w:pPr>
      <w:bookmarkStart w:id="266" w:name="_Toc25556"/>
      <w:bookmarkStart w:id="267" w:name="_Toc10635"/>
      <w:bookmarkStart w:id="268" w:name="_Toc13269"/>
      <w:bookmarkStart w:id="269" w:name="_Toc22367"/>
      <w:bookmarkStart w:id="270" w:name="_Toc20559"/>
      <w:bookmarkStart w:id="271" w:name="_Toc11927"/>
      <w:bookmarkStart w:id="272" w:name="_Toc31227"/>
      <w:r>
        <w:rPr>
          <w:rFonts w:hint="eastAsia"/>
          <w:lang w:val="en-US" w:eastAsia="zh-CN"/>
        </w:rPr>
        <w:t>施工BIM应用管理</w:t>
      </w:r>
      <w:bookmarkEnd w:id="266"/>
      <w:bookmarkEnd w:id="267"/>
      <w:bookmarkEnd w:id="268"/>
      <w:bookmarkEnd w:id="269"/>
      <w:bookmarkEnd w:id="270"/>
      <w:bookmarkEnd w:id="271"/>
      <w:bookmarkEnd w:id="272"/>
    </w:p>
    <w:p w14:paraId="584C9FC6">
      <w:pPr>
        <w:pStyle w:val="38"/>
        <w:rPr>
          <w:rFonts w:hint="default" w:eastAsia="宋体"/>
          <w:lang w:val="en-US" w:eastAsia="zh-CN"/>
        </w:rPr>
      </w:pPr>
      <w:r>
        <w:rPr>
          <w:rFonts w:hint="eastAsia"/>
          <w:b/>
          <w:bCs/>
          <w:lang w:val="en-US" w:eastAsia="zh-CN"/>
        </w:rPr>
        <w:t>3.3.2</w:t>
      </w:r>
      <w:r>
        <w:rPr>
          <w:rFonts w:hint="eastAsia"/>
          <w:lang w:val="en-US" w:eastAsia="zh-CN"/>
        </w:rPr>
        <w:t xml:space="preserve">  施工单位的技术、物资、项目控制、质检等部门，以及各专业施工队等，不同施工参与方在施工BIM应用过程中都需要利用施工BIM数据开展各自的工作，施工BIM数据的共享与应用能够提高不同施工参与方的工作效率，为项目实施提质增效。</w:t>
      </w:r>
    </w:p>
    <w:p w14:paraId="397F35C5">
      <w:pPr>
        <w:pStyle w:val="38"/>
        <w:rPr>
          <w:rFonts w:hint="eastAsia"/>
          <w:lang w:val="en-US" w:eastAsia="zh-CN"/>
        </w:rPr>
      </w:pPr>
      <w:r>
        <w:rPr>
          <w:rFonts w:hint="eastAsia"/>
          <w:b/>
          <w:bCs/>
          <w:lang w:val="en-US" w:eastAsia="zh-CN"/>
        </w:rPr>
        <w:t>3.3.3</w:t>
      </w:r>
      <w:r>
        <w:rPr>
          <w:rFonts w:hint="eastAsia"/>
          <w:lang w:val="en-US" w:eastAsia="zh-CN"/>
        </w:rPr>
        <w:t xml:space="preserve">  施工BIM应用管理工作机制是施工BIM应用顺利实施的制度保障措施，工作机制需要明确工作计划、工作方式、沟通渠道、会议制度、保障措施等内容。</w:t>
      </w:r>
    </w:p>
    <w:p w14:paraId="7078F455">
      <w:pPr>
        <w:pStyle w:val="38"/>
        <w:rPr>
          <w:rFonts w:hint="default"/>
          <w:lang w:val="en-US" w:eastAsia="zh-CN"/>
        </w:rPr>
      </w:pPr>
      <w:r>
        <w:rPr>
          <w:rFonts w:hint="eastAsia"/>
          <w:b/>
          <w:bCs/>
          <w:lang w:val="en-US" w:eastAsia="zh-CN"/>
        </w:rPr>
        <w:t>3.3.4</w:t>
      </w:r>
      <w:r>
        <w:rPr>
          <w:rFonts w:hint="eastAsia"/>
          <w:lang w:val="en-US" w:eastAsia="zh-CN"/>
        </w:rPr>
        <w:t xml:space="preserve">  模型质量应符合相关标准的要求，包括建模标准、模型精细度标准和相应的专业标准，施工BIM应用的模型精细度应符合本标准4.3节的规定。</w:t>
      </w:r>
    </w:p>
    <w:p w14:paraId="3162823E">
      <w:pPr>
        <w:pStyle w:val="38"/>
        <w:rPr>
          <w:rFonts w:hint="eastAsia"/>
          <w:lang w:val="en-US" w:eastAsia="zh-CN"/>
        </w:rPr>
      </w:pPr>
      <w:r>
        <w:rPr>
          <w:rFonts w:hint="eastAsia"/>
          <w:b/>
          <w:bCs/>
          <w:lang w:val="en-US" w:eastAsia="zh-CN"/>
        </w:rPr>
        <w:t>3.3.5</w:t>
      </w:r>
      <w:r>
        <w:rPr>
          <w:rFonts w:hint="eastAsia"/>
          <w:lang w:val="en-US" w:eastAsia="zh-CN"/>
        </w:rPr>
        <w:t xml:space="preserve">  定性评价指从性质上进行评价，说明施工BIM应用成果对项目管理目标、项目管理过程的影响。定量评价指从量化的角度对比若未使用BIM技术和使用BIM技术后的差异。对于工程质量的影响，一般可采用定性评价的方法；对于成本和工期的影响，一般可采用定量评价的方法。</w:t>
      </w:r>
    </w:p>
    <w:p w14:paraId="5DDA3EEF">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通过定性或定量评价后，分析施工BIM应用对工程项目管理起到促进还是阻碍作用，若是阻碍作用，需要评估施工BIM应用的内容、方式、方法等，总结实施经验，提出改进措施。</w:t>
      </w:r>
    </w:p>
    <w:p w14:paraId="06AB496E">
      <w:pPr>
        <w:pStyle w:val="38"/>
        <w:rPr>
          <w:rFonts w:hint="default"/>
          <w:lang w:val="en-US" w:eastAsia="zh-CN"/>
        </w:rPr>
      </w:pPr>
    </w:p>
    <w:p w14:paraId="2390E52E">
      <w:pPr>
        <w:bidi w:val="0"/>
      </w:pPr>
      <w:bookmarkStart w:id="273" w:name="_Toc26200102"/>
      <w:bookmarkStart w:id="274" w:name="_Toc27151502"/>
      <w:r>
        <w:br w:type="page"/>
      </w:r>
      <w:bookmarkEnd w:id="273"/>
      <w:bookmarkEnd w:id="274"/>
    </w:p>
    <w:p w14:paraId="1C1979FD"/>
    <w:p w14:paraId="535E4C7D">
      <w:pPr>
        <w:pStyle w:val="2"/>
        <w:bidi w:val="0"/>
        <w:rPr>
          <w:rFonts w:hint="default"/>
          <w:lang w:val="en-US" w:eastAsia="zh-CN"/>
        </w:rPr>
      </w:pPr>
      <w:bookmarkStart w:id="275" w:name="_Toc21084"/>
      <w:bookmarkStart w:id="276" w:name="_Toc6781"/>
      <w:bookmarkStart w:id="277" w:name="_Toc17367"/>
      <w:bookmarkStart w:id="278" w:name="_Toc11539"/>
      <w:r>
        <w:rPr>
          <w:rFonts w:hint="eastAsia"/>
          <w:lang w:val="en-US" w:eastAsia="zh-CN"/>
        </w:rPr>
        <w:t>施工模型</w:t>
      </w:r>
      <w:bookmarkEnd w:id="275"/>
      <w:bookmarkEnd w:id="276"/>
      <w:bookmarkEnd w:id="277"/>
      <w:bookmarkEnd w:id="278"/>
    </w:p>
    <w:p w14:paraId="636F838E">
      <w:pPr>
        <w:pStyle w:val="3"/>
        <w:bidi w:val="0"/>
        <w:rPr>
          <w:rFonts w:hint="default"/>
          <w:lang w:val="en-US" w:eastAsia="zh-CN"/>
        </w:rPr>
      </w:pPr>
      <w:bookmarkStart w:id="279" w:name="_Toc23545"/>
      <w:bookmarkStart w:id="280" w:name="_Toc27920"/>
      <w:bookmarkStart w:id="281" w:name="_Toc31544"/>
      <w:bookmarkStart w:id="282" w:name="_Toc18839"/>
      <w:bookmarkStart w:id="283" w:name="_Toc26239"/>
      <w:bookmarkStart w:id="284" w:name="_Toc13718"/>
      <w:bookmarkStart w:id="285" w:name="_Toc24832"/>
      <w:r>
        <w:rPr>
          <w:rFonts w:hint="eastAsia"/>
          <w:lang w:val="en-US" w:eastAsia="zh-CN"/>
        </w:rPr>
        <w:t>一般规定</w:t>
      </w:r>
      <w:bookmarkEnd w:id="279"/>
      <w:bookmarkEnd w:id="280"/>
      <w:bookmarkEnd w:id="281"/>
      <w:bookmarkEnd w:id="282"/>
      <w:bookmarkEnd w:id="283"/>
      <w:bookmarkEnd w:id="284"/>
      <w:bookmarkEnd w:id="285"/>
    </w:p>
    <w:p w14:paraId="50E7F161">
      <w:pPr>
        <w:pStyle w:val="38"/>
        <w:numPr>
          <w:ilvl w:val="0"/>
          <w:numId w:val="0"/>
        </w:numPr>
        <w:tabs>
          <w:tab w:val="left" w:pos="0"/>
        </w:tabs>
        <w:bidi w:val="0"/>
        <w:ind w:leftChars="0"/>
        <w:rPr>
          <w:rFonts w:hint="default" w:eastAsia="宋体"/>
          <w:i w:val="0"/>
          <w:iCs w:val="0"/>
          <w:highlight w:val="none"/>
          <w:lang w:val="en-US" w:eastAsia="zh-CN"/>
        </w:rPr>
      </w:pPr>
      <w:r>
        <w:rPr>
          <w:rFonts w:hint="eastAsia"/>
          <w:b/>
          <w:bCs/>
          <w:i w:val="0"/>
          <w:iCs w:val="0"/>
          <w:highlight w:val="none"/>
          <w:lang w:val="en-US" w:eastAsia="zh-CN"/>
        </w:rPr>
        <w:t>4.1.1</w:t>
      </w:r>
      <w:r>
        <w:rPr>
          <w:rFonts w:hint="eastAsia"/>
          <w:i w:val="0"/>
          <w:iCs w:val="0"/>
          <w:highlight w:val="none"/>
          <w:lang w:val="en-US" w:eastAsia="zh-CN"/>
        </w:rPr>
        <w:t xml:space="preserve">  深化设计模型主要是在施工图设计模型基础上进行细化完善、优化校核等深化工作而创建的模型，</w:t>
      </w:r>
      <w:r>
        <w:rPr>
          <w:rFonts w:hint="eastAsia"/>
          <w:i w:val="0"/>
          <w:iCs w:val="0"/>
          <w:highlight w:val="none"/>
          <w:vertAlign w:val="superscript"/>
          <w:lang w:val="en-US" w:eastAsia="zh-CN"/>
        </w:rPr>
        <w:t>[6]</w:t>
      </w:r>
      <w:r>
        <w:rPr>
          <w:rFonts w:hint="eastAsia"/>
          <w:i w:val="0"/>
          <w:iCs w:val="0"/>
          <w:lang w:val="en-US" w:eastAsia="zh-CN"/>
        </w:rPr>
        <w:t>核电站核岛安装工程主要开展辅助管道和通风空调专业的深化设计，并创建深化设计模型；施工过程模型主要是在施工过程中在施工图设计模型或深化设计模型上添加施工信息而形成的模型，主要用于施工BIM的各项应用，以及进度、质量、安全的管理等；竣工交付模型主要是在施工过程模型的基础上添加变更及必要的检验和验收信息而形成的模型，主要用于施工单位向施工总承包单位或建设单位的交付。</w:t>
      </w:r>
    </w:p>
    <w:p w14:paraId="376C7D29">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4.1.2</w:t>
      </w:r>
      <w:r>
        <w:rPr>
          <w:rFonts w:hint="eastAsia"/>
          <w:i w:val="0"/>
          <w:iCs w:val="0"/>
          <w:highlight w:val="none"/>
          <w:lang w:val="en-US" w:eastAsia="zh-CN"/>
        </w:rPr>
        <w:t xml:space="preserve">  了减少创建施工模型的投入，提高建模效率，施工模型优先考虑在设计单位出版的施工图设计模型的基础上细化完善、优化校核，添加施工信息、变更信息和必要的检验验收信息进行创建。</w:t>
      </w:r>
    </w:p>
    <w:p w14:paraId="2E56FDC7">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4.1.3</w:t>
      </w:r>
      <w:r>
        <w:rPr>
          <w:rFonts w:hint="eastAsia"/>
          <w:i w:val="0"/>
          <w:iCs w:val="0"/>
          <w:highlight w:val="none"/>
          <w:lang w:val="en-US" w:eastAsia="zh-CN"/>
        </w:rPr>
        <w:t xml:space="preserve">  核电站的工程对象体量大、专业多，建立一套完整的全专业施工模型需要投入大量的人力、物力。施工BIM应用过程中，需要根据相关专业和任务的需求将建模范围控制到最小，以减少建模工作的投入。</w:t>
      </w:r>
    </w:p>
    <w:p w14:paraId="7EF2295B">
      <w:pPr>
        <w:pStyle w:val="38"/>
        <w:numPr>
          <w:ilvl w:val="0"/>
          <w:numId w:val="0"/>
        </w:numPr>
        <w:tabs>
          <w:tab w:val="left" w:pos="0"/>
        </w:tabs>
        <w:bidi w:val="0"/>
        <w:ind w:leftChars="0"/>
        <w:rPr>
          <w:rFonts w:hint="eastAsia"/>
          <w:i w:val="0"/>
          <w:iCs w:val="0"/>
          <w:highlight w:val="none"/>
          <w:lang w:val="en-US" w:eastAsia="zh-CN"/>
        </w:rPr>
      </w:pPr>
      <w:r>
        <w:rPr>
          <w:rFonts w:hint="eastAsia"/>
          <w:b/>
          <w:bCs/>
          <w:i w:val="0"/>
          <w:iCs w:val="0"/>
          <w:highlight w:val="none"/>
          <w:lang w:val="en-US" w:eastAsia="zh-CN"/>
        </w:rPr>
        <w:t>4.1.5、4.1.6</w:t>
      </w:r>
      <w:r>
        <w:rPr>
          <w:rFonts w:hint="eastAsia"/>
          <w:i w:val="0"/>
          <w:iCs w:val="0"/>
          <w:highlight w:val="none"/>
          <w:lang w:val="en-US" w:eastAsia="zh-CN"/>
        </w:rPr>
        <w:t xml:space="preserve">  BIM技术主要有可视化、一体化、参数化、仿真性、协调性、优化性、可出图性、信息完备性八大特点。结合BIM技术的特点，在核电站核岛安装工程施工过程中应用BIM技术，施工模型需要具备可视化、模拟分析、计算分析、统计算量、出图等功能。为了满足施工模型的上述功能，模型单元除了具备相应的几何形体之外，几何形体没有表达出的施工信息，需要采用非几何信息表达的方式。</w:t>
      </w:r>
    </w:p>
    <w:p w14:paraId="03BC5295">
      <w:pPr>
        <w:pStyle w:val="3"/>
        <w:bidi w:val="0"/>
        <w:rPr>
          <w:rFonts w:hint="default"/>
          <w:lang w:val="en-US" w:eastAsia="zh-CN"/>
        </w:rPr>
      </w:pPr>
      <w:bookmarkStart w:id="286" w:name="_Toc26959"/>
      <w:bookmarkStart w:id="287" w:name="_Toc6256"/>
      <w:bookmarkStart w:id="288" w:name="_Toc30234"/>
      <w:bookmarkStart w:id="289" w:name="_Toc26584"/>
      <w:bookmarkStart w:id="290" w:name="_Toc25939"/>
      <w:bookmarkStart w:id="291" w:name="_Toc2141"/>
      <w:bookmarkStart w:id="292" w:name="_Toc24981"/>
      <w:r>
        <w:rPr>
          <w:rFonts w:hint="eastAsia"/>
          <w:lang w:val="en-US" w:eastAsia="zh-CN"/>
        </w:rPr>
        <w:t>模型创建</w:t>
      </w:r>
      <w:bookmarkEnd w:id="286"/>
      <w:bookmarkEnd w:id="287"/>
      <w:bookmarkEnd w:id="288"/>
      <w:bookmarkEnd w:id="289"/>
      <w:bookmarkEnd w:id="290"/>
      <w:bookmarkEnd w:id="291"/>
      <w:bookmarkEnd w:id="292"/>
    </w:p>
    <w:p w14:paraId="416CB395">
      <w:pPr>
        <w:pStyle w:val="38"/>
        <w:numPr>
          <w:ilvl w:val="0"/>
          <w:numId w:val="0"/>
        </w:numPr>
        <w:tabs>
          <w:tab w:val="left" w:pos="0"/>
        </w:tabs>
        <w:bidi w:val="0"/>
        <w:ind w:leftChars="0"/>
        <w:rPr>
          <w:rFonts w:hint="eastAsia"/>
          <w:i w:val="0"/>
          <w:iCs w:val="0"/>
          <w:highlight w:val="none"/>
          <w:lang w:val="en-US" w:eastAsia="zh-CN"/>
        </w:rPr>
      </w:pPr>
      <w:r>
        <w:rPr>
          <w:rFonts w:hint="eastAsia"/>
          <w:b/>
          <w:bCs/>
          <w:lang w:val="en-US" w:eastAsia="zh-CN"/>
        </w:rPr>
        <w:t>4.2.1</w:t>
      </w:r>
      <w:r>
        <w:rPr>
          <w:rFonts w:hint="eastAsia"/>
          <w:lang w:val="en-US" w:eastAsia="zh-CN"/>
        </w:rPr>
        <w:t xml:space="preserve">  </w:t>
      </w:r>
      <w:r>
        <w:rPr>
          <w:rFonts w:hint="eastAsia"/>
          <w:i w:val="0"/>
          <w:iCs w:val="0"/>
          <w:highlight w:val="none"/>
          <w:lang w:val="en-US" w:eastAsia="zh-CN"/>
        </w:rPr>
        <w:t>按照施工BIM应用策划中规划的BIM应用目的、范围和内容创建施工模型，将模型创建控制在最小范围内，减少模型的过度创建，能有效减少施工BIM应用的投入，降低项目成本。</w:t>
      </w:r>
    </w:p>
    <w:p w14:paraId="6D5EF1E7">
      <w:pPr>
        <w:pStyle w:val="38"/>
        <w:numPr>
          <w:ilvl w:val="0"/>
          <w:numId w:val="0"/>
        </w:numPr>
        <w:tabs>
          <w:tab w:val="left" w:pos="0"/>
        </w:tabs>
        <w:bidi w:val="0"/>
        <w:ind w:leftChars="0"/>
        <w:rPr>
          <w:rFonts w:hint="default"/>
          <w:i w:val="0"/>
          <w:iCs w:val="0"/>
          <w:highlight w:val="none"/>
          <w:lang w:val="en-US" w:eastAsia="zh-CN"/>
        </w:rPr>
      </w:pPr>
      <w:r>
        <w:rPr>
          <w:rFonts w:hint="eastAsia"/>
          <w:i w:val="0"/>
          <w:iCs w:val="0"/>
          <w:highlight w:val="none"/>
          <w:lang w:val="en-US" w:eastAsia="zh-CN"/>
        </w:rPr>
        <w:t>根据施工BIM应用内容，为了满足核岛安装工程施工BIM应用的要求，在施工模型创建时，首选要选定合适的建模软件。为了便于模型数据的传递，建模软件优先采用与创建施工图设计模型一致的建模软件。在核电站核岛安装工程中，设计单位通常采用工厂类设计软件创建施工图设计模型。</w:t>
      </w:r>
    </w:p>
    <w:p w14:paraId="724FCA8C">
      <w:pPr>
        <w:pStyle w:val="38"/>
        <w:numPr>
          <w:ilvl w:val="0"/>
          <w:numId w:val="0"/>
        </w:numPr>
        <w:tabs>
          <w:tab w:val="left" w:pos="0"/>
        </w:tabs>
        <w:bidi w:val="0"/>
        <w:ind w:leftChars="0"/>
        <w:rPr>
          <w:rFonts w:hint="eastAsia"/>
          <w:i w:val="0"/>
          <w:iCs w:val="0"/>
          <w:highlight w:val="none"/>
          <w:lang w:val="en-US" w:eastAsia="zh-CN"/>
        </w:rPr>
      </w:pPr>
      <w:r>
        <w:rPr>
          <w:rFonts w:hint="eastAsia"/>
          <w:b/>
          <w:bCs/>
          <w:i w:val="0"/>
          <w:iCs w:val="0"/>
          <w:highlight w:val="none"/>
          <w:lang w:val="en-US" w:eastAsia="zh-CN"/>
        </w:rPr>
        <w:t>4.2.2~4.2.5</w:t>
      </w:r>
      <w:r>
        <w:rPr>
          <w:rFonts w:hint="eastAsia"/>
          <w:i w:val="0"/>
          <w:iCs w:val="0"/>
          <w:highlight w:val="none"/>
          <w:lang w:val="en-US" w:eastAsia="zh-CN"/>
        </w:rPr>
        <w:t xml:space="preserve">  施工图设计模型、施工图、技术规格书、变更文件等资料是开展施工模型创建的输入条件，在不具备施工图设计模型的情况下，需要根据施工图、技术规格书、变更文件等资料创建施工模型，即所谓的“逆向建模”。</w:t>
      </w:r>
    </w:p>
    <w:p w14:paraId="3F3451F2">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eastAsia="宋体"/>
          <w:i w:val="0"/>
          <w:iCs w:val="0"/>
          <w:highlight w:val="none"/>
          <w:lang w:val="en-US" w:eastAsia="zh-CN"/>
        </w:rPr>
      </w:pPr>
      <w:r>
        <w:rPr>
          <w:rFonts w:hint="eastAsia"/>
          <w:i w:val="0"/>
          <w:iCs w:val="0"/>
          <w:highlight w:val="none"/>
          <w:lang w:val="en-US" w:eastAsia="zh-CN"/>
        </w:rPr>
        <w:t>核电站核岛安装工程采用产品分解结构（PBS，英语Product Breakdown Structure的缩写）对工程实体进行分解，包括机组、厂房、专业、系统等；施工范围主要是指安装工作的作业区域，可以按层高、房间等划分作业区域；施工内容主要包括预制、安装、密封性和稳定性试验等。模型的拆分或合并需要综合考虑上述因素。</w:t>
      </w:r>
    </w:p>
    <w:p w14:paraId="4C09E3D8">
      <w:pPr>
        <w:pStyle w:val="38"/>
        <w:rPr>
          <w:rFonts w:hint="eastAsia"/>
          <w:i w:val="0"/>
          <w:iCs w:val="0"/>
          <w:lang w:val="en-US" w:eastAsia="zh-CN"/>
        </w:rPr>
      </w:pPr>
      <w:r>
        <w:rPr>
          <w:rFonts w:hint="eastAsia"/>
          <w:b/>
          <w:bCs/>
          <w:i w:val="0"/>
          <w:iCs w:val="0"/>
          <w:highlight w:val="none"/>
          <w:lang w:val="en-US" w:eastAsia="zh-CN"/>
        </w:rPr>
        <w:t>4.2.6</w:t>
      </w:r>
      <w:r>
        <w:rPr>
          <w:rFonts w:hint="eastAsia"/>
          <w:i w:val="0"/>
          <w:iCs w:val="0"/>
          <w:highlight w:val="none"/>
          <w:lang w:val="en-US" w:eastAsia="zh-CN"/>
        </w:rPr>
        <w:t xml:space="preserve">  </w:t>
      </w:r>
      <w:r>
        <w:rPr>
          <w:rFonts w:hint="eastAsia"/>
          <w:i w:val="0"/>
          <w:iCs w:val="0"/>
          <w:lang w:val="en-US" w:eastAsia="zh-CN"/>
        </w:rPr>
        <w:t>统一的模型创建规则是模型创建的必要前提。在施工模型创建前建立模型创建规则，并在规则的约束下开展模型创建工作，能够使模型创建地更加规范协调。</w:t>
      </w:r>
    </w:p>
    <w:p w14:paraId="684F7A19">
      <w:pPr>
        <w:pStyle w:val="38"/>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i w:val="0"/>
          <w:iCs w:val="0"/>
          <w:lang w:val="en-US" w:eastAsia="zh-CN"/>
        </w:rPr>
      </w:pPr>
      <w:r>
        <w:rPr>
          <w:rFonts w:hint="eastAsia"/>
          <w:b/>
          <w:bCs/>
          <w:i w:val="0"/>
          <w:iCs w:val="0"/>
          <w:lang w:val="en-US" w:eastAsia="zh-CN"/>
        </w:rPr>
        <w:t>1</w:t>
      </w:r>
      <w:r>
        <w:rPr>
          <w:rFonts w:hint="eastAsia"/>
          <w:i w:val="0"/>
          <w:iCs w:val="0"/>
          <w:lang w:val="en-US" w:eastAsia="zh-CN"/>
        </w:rPr>
        <w:t xml:space="preserve">  为了减少重复创建</w:t>
      </w:r>
      <w:r>
        <w:rPr>
          <w:rFonts w:hint="eastAsia"/>
          <w:i w:val="0"/>
          <w:iCs w:val="0"/>
          <w:highlight w:val="none"/>
          <w:lang w:val="en-US" w:eastAsia="zh-CN"/>
        </w:rPr>
        <w:t>模型</w:t>
      </w:r>
      <w:r>
        <w:rPr>
          <w:rFonts w:hint="eastAsia"/>
          <w:i w:val="0"/>
          <w:iCs w:val="0"/>
          <w:lang w:val="en-US" w:eastAsia="zh-CN"/>
        </w:rPr>
        <w:t>的工作量，模型创建过程中需要多次重复使用的模型单元可以制作成模型库，主要包括管道弯头、弯管、三通、变径、法兰、管帽等管件，以及支吊架管卡、阀门和各种规格的型钢等。模型库的创建需要制定相应的规则，包括创建依据、创建流程、创建方式方法、命名规则等内容。</w:t>
      </w:r>
    </w:p>
    <w:p w14:paraId="33AA4229">
      <w:pPr>
        <w:pStyle w:val="38"/>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i w:val="0"/>
          <w:iCs w:val="0"/>
          <w:lang w:val="en-US" w:eastAsia="zh-CN"/>
        </w:rPr>
      </w:pPr>
      <w:r>
        <w:rPr>
          <w:rFonts w:hint="eastAsia"/>
          <w:b/>
          <w:bCs/>
          <w:i w:val="0"/>
          <w:iCs w:val="0"/>
          <w:lang w:val="en-US" w:eastAsia="zh-CN"/>
        </w:rPr>
        <w:t>2~4</w:t>
      </w:r>
      <w:r>
        <w:rPr>
          <w:rFonts w:hint="eastAsia"/>
          <w:i w:val="0"/>
          <w:iCs w:val="0"/>
          <w:lang w:val="en-US" w:eastAsia="zh-CN"/>
        </w:rPr>
        <w:t xml:space="preserve">  模型单元的</w:t>
      </w:r>
      <w:r>
        <w:rPr>
          <w:rFonts w:hint="eastAsia"/>
          <w:i w:val="0"/>
          <w:iCs w:val="0"/>
          <w:highlight w:val="none"/>
          <w:lang w:val="en-US" w:eastAsia="zh-CN"/>
        </w:rPr>
        <w:t>创建</w:t>
      </w:r>
      <w:r>
        <w:rPr>
          <w:rFonts w:hint="eastAsia"/>
          <w:i w:val="0"/>
          <w:iCs w:val="0"/>
          <w:lang w:val="en-US" w:eastAsia="zh-CN"/>
        </w:rPr>
        <w:t>规则主要包括创建依据、创建流程、模型层次结构、各专业模型创建方式方法等内容。在核电站核岛安装工程中，每个工程对象均有各自唯一的编码标识，该编码标识是由设计单位在设计过程中根据相应的标准制定的。为了便于识别，模型单元的命名可以与工程对象的编码标识保持一致，而工程对象的实际名称，如设备的名称“轴流风机”、“离心泵”等，可以作为非几何信息写入模型属性中。非几何信息的写入规则，需要明确模型单元写入哪些非几何信息，以及非几何信息的来源和需要写入的位置等。模型单元非几何信息一般包括通用信息和各专业特有信息两种，通用信息包括图纸号、机组、厂房、区域、标高、房间等。</w:t>
      </w:r>
    </w:p>
    <w:p w14:paraId="1B28AFA1">
      <w:pPr>
        <w:pStyle w:val="38"/>
        <w:numPr>
          <w:ilvl w:val="0"/>
          <w:numId w:val="0"/>
        </w:numPr>
        <w:tabs>
          <w:tab w:val="left" w:pos="0"/>
        </w:tabs>
        <w:bidi w:val="0"/>
        <w:ind w:leftChars="0"/>
        <w:rPr>
          <w:rFonts w:hint="default" w:eastAsia="宋体"/>
          <w:i w:val="0"/>
          <w:iCs w:val="0"/>
          <w:highlight w:val="none"/>
          <w:lang w:val="en-US" w:eastAsia="zh-CN"/>
        </w:rPr>
      </w:pPr>
      <w:r>
        <w:rPr>
          <w:rFonts w:hint="eastAsia"/>
          <w:b/>
          <w:bCs/>
          <w:i w:val="0"/>
          <w:iCs w:val="0"/>
          <w:lang w:val="en-US" w:eastAsia="zh-CN"/>
        </w:rPr>
        <w:t>5</w:t>
      </w:r>
      <w:r>
        <w:rPr>
          <w:rFonts w:hint="eastAsia"/>
          <w:i w:val="0"/>
          <w:iCs w:val="0"/>
          <w:lang w:val="en-US" w:eastAsia="zh-CN"/>
        </w:rPr>
        <w:t xml:space="preserve">  制定模型审查规则，是为了给后续的模型审查工作提供可执行的审查依据，模型审查规则需要明确出各专业施工模型审查的要点和注意事项。</w:t>
      </w:r>
    </w:p>
    <w:p w14:paraId="0FDA3A01">
      <w:pPr>
        <w:pStyle w:val="38"/>
        <w:numPr>
          <w:ilvl w:val="0"/>
          <w:numId w:val="0"/>
        </w:numPr>
        <w:tabs>
          <w:tab w:val="left" w:pos="0"/>
        </w:tabs>
        <w:bidi w:val="0"/>
        <w:ind w:leftChars="0"/>
        <w:rPr>
          <w:rFonts w:hint="default" w:eastAsia="宋体"/>
          <w:i w:val="0"/>
          <w:iCs w:val="0"/>
          <w:highlight w:val="none"/>
          <w:lang w:val="en-US" w:eastAsia="zh-CN"/>
        </w:rPr>
      </w:pPr>
      <w:r>
        <w:rPr>
          <w:rFonts w:hint="eastAsia"/>
          <w:b/>
          <w:bCs/>
          <w:i w:val="0"/>
          <w:iCs w:val="0"/>
          <w:highlight w:val="none"/>
          <w:lang w:val="en-US" w:eastAsia="zh-CN"/>
        </w:rPr>
        <w:t>4.2.8</w:t>
      </w:r>
      <w:r>
        <w:rPr>
          <w:rFonts w:hint="eastAsia"/>
          <w:i w:val="0"/>
          <w:iCs w:val="0"/>
          <w:highlight w:val="none"/>
          <w:lang w:val="en-US" w:eastAsia="zh-CN"/>
        </w:rPr>
        <w:t xml:space="preserve">  </w:t>
      </w:r>
      <w:r>
        <w:rPr>
          <w:rFonts w:hint="eastAsia"/>
          <w:i w:val="0"/>
          <w:iCs w:val="0"/>
          <w:lang w:val="en-US" w:eastAsia="zh-CN"/>
        </w:rPr>
        <w:t>核电站核岛范围具有统一的坐标系，该坐标系一般以反应堆厂房±0.000m标高的中心位置作为坐标原点（0,0,0）。以该点作为基准点，可以统一施工BIM各专业的模型创建。</w:t>
      </w:r>
    </w:p>
    <w:p w14:paraId="5E5A3D79">
      <w:pPr>
        <w:pStyle w:val="38"/>
        <w:numPr>
          <w:ilvl w:val="0"/>
          <w:numId w:val="0"/>
        </w:numPr>
        <w:tabs>
          <w:tab w:val="left" w:pos="0"/>
        </w:tabs>
        <w:bidi w:val="0"/>
        <w:ind w:leftChars="0"/>
        <w:rPr>
          <w:rFonts w:hint="default" w:eastAsia="宋体"/>
          <w:i w:val="0"/>
          <w:iCs w:val="0"/>
          <w:highlight w:val="none"/>
          <w:lang w:val="en-US" w:eastAsia="zh-CN"/>
        </w:rPr>
      </w:pPr>
      <w:r>
        <w:rPr>
          <w:rFonts w:hint="eastAsia"/>
          <w:b/>
          <w:bCs/>
          <w:i w:val="0"/>
          <w:iCs w:val="0"/>
          <w:highlight w:val="none"/>
          <w:lang w:val="en-US" w:eastAsia="zh-CN"/>
        </w:rPr>
        <w:t>4.2.9</w:t>
      </w:r>
      <w:r>
        <w:rPr>
          <w:rFonts w:hint="eastAsia"/>
          <w:i w:val="0"/>
          <w:iCs w:val="0"/>
          <w:highlight w:val="none"/>
          <w:lang w:val="en-US" w:eastAsia="zh-CN"/>
        </w:rPr>
        <w:t xml:space="preserve">  为了保证施工模型创建的质量符合施工BIM应用的要求，施工模型创建完成后需要进行模型审查，本条是对模型审查的总体原则。在遵循本条规定的模型审查基本原则的基础上，模型审查应该按照模型创建规则并对照施工图、技术规格书、变更文件等施工模型创建的输入资料开展。</w:t>
      </w:r>
    </w:p>
    <w:p w14:paraId="3C1F5676">
      <w:pPr>
        <w:pStyle w:val="3"/>
        <w:bidi w:val="0"/>
        <w:rPr>
          <w:rFonts w:hint="default"/>
          <w:lang w:val="en-US" w:eastAsia="zh-CN"/>
        </w:rPr>
      </w:pPr>
      <w:bookmarkStart w:id="293" w:name="_Toc9277"/>
      <w:bookmarkStart w:id="294" w:name="_Toc17400"/>
      <w:bookmarkStart w:id="295" w:name="_Toc7363"/>
      <w:bookmarkStart w:id="296" w:name="_Toc30037"/>
      <w:bookmarkStart w:id="297" w:name="_Toc2016"/>
      <w:bookmarkStart w:id="298" w:name="_Toc308"/>
      <w:bookmarkStart w:id="299" w:name="_Toc22869"/>
      <w:r>
        <w:rPr>
          <w:rFonts w:hint="eastAsia"/>
          <w:lang w:val="en-US" w:eastAsia="zh-CN"/>
        </w:rPr>
        <w:t>模型精细度</w:t>
      </w:r>
      <w:bookmarkEnd w:id="293"/>
      <w:bookmarkEnd w:id="294"/>
      <w:bookmarkEnd w:id="295"/>
      <w:bookmarkEnd w:id="296"/>
      <w:bookmarkEnd w:id="297"/>
      <w:bookmarkEnd w:id="298"/>
      <w:bookmarkEnd w:id="299"/>
    </w:p>
    <w:p w14:paraId="7D1CDE38">
      <w:pPr>
        <w:pStyle w:val="38"/>
        <w:numPr>
          <w:ilvl w:val="0"/>
          <w:numId w:val="0"/>
        </w:numPr>
        <w:tabs>
          <w:tab w:val="left" w:pos="0"/>
        </w:tabs>
        <w:bidi w:val="0"/>
        <w:ind w:leftChars="0"/>
        <w:rPr>
          <w:rFonts w:hint="default" w:eastAsia="宋体"/>
          <w:i w:val="0"/>
          <w:iCs w:val="0"/>
          <w:highlight w:val="none"/>
          <w:lang w:val="en-US" w:eastAsia="zh-CN"/>
        </w:rPr>
      </w:pPr>
      <w:r>
        <w:rPr>
          <w:rFonts w:hint="eastAsia"/>
          <w:b/>
          <w:bCs/>
          <w:lang w:val="en-US" w:eastAsia="zh-CN"/>
        </w:rPr>
        <w:t>4.3.2</w:t>
      </w:r>
      <w:r>
        <w:rPr>
          <w:rFonts w:hint="eastAsia"/>
          <w:lang w:val="en-US" w:eastAsia="zh-CN"/>
        </w:rPr>
        <w:t xml:space="preserve">  </w:t>
      </w:r>
      <w:r>
        <w:rPr>
          <w:rFonts w:hint="eastAsia"/>
          <w:i w:val="0"/>
          <w:iCs w:val="0"/>
          <w:highlight w:val="none"/>
          <w:lang w:val="en-US" w:eastAsia="zh-CN"/>
        </w:rPr>
        <w:t>模型单元的视觉呈现水平，通过几何表达精度衡量，反应模型单元与物理实体的真实逼近程度。核电站核岛安装工程应根据施工BIM应用的目的、目标、范围和内容，选择不同等级的几何表达精度。在满足施工BIM应用需求的前提下，采用较低的几何表达精度，避免过度建模情况的发生，有利于降低BIM应用投入、提高BIM应用效益。</w:t>
      </w:r>
    </w:p>
    <w:p w14:paraId="4A688B62">
      <w:pPr>
        <w:pStyle w:val="38"/>
        <w:rPr>
          <w:rFonts w:hint="eastAsia"/>
          <w:i w:val="0"/>
          <w:iCs w:val="0"/>
          <w:lang w:val="en-US" w:eastAsia="zh-CN"/>
        </w:rPr>
      </w:pPr>
      <w:r>
        <w:rPr>
          <w:rFonts w:hint="eastAsia"/>
          <w:b/>
          <w:bCs/>
          <w:i w:val="0"/>
          <w:iCs w:val="0"/>
          <w:highlight w:val="none"/>
          <w:lang w:val="en-US" w:eastAsia="zh-CN"/>
        </w:rPr>
        <w:t>4.3.3</w:t>
      </w:r>
      <w:r>
        <w:rPr>
          <w:rFonts w:hint="eastAsia"/>
          <w:i w:val="0"/>
          <w:iCs w:val="0"/>
          <w:highlight w:val="none"/>
          <w:lang w:val="en-US" w:eastAsia="zh-CN"/>
        </w:rPr>
        <w:t xml:space="preserve">  </w:t>
      </w:r>
      <w:r>
        <w:rPr>
          <w:rFonts w:hint="eastAsia"/>
          <w:i w:val="0"/>
          <w:iCs w:val="0"/>
          <w:lang w:val="en-US" w:eastAsia="zh-CN"/>
        </w:rPr>
        <w:t>本条对几何表达精度的等级划分，是在现行国家标准《建筑信息模型设计交付标准》（GB/T 51301-2018）几何表达精度的等级划分基础上增加了示例和对几何表达精度要求的备注说明，更加便于理解。</w:t>
      </w:r>
    </w:p>
    <w:p w14:paraId="63DF9922">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i w:val="0"/>
          <w:iCs w:val="0"/>
          <w:highlight w:val="none"/>
          <w:lang w:val="en-US" w:eastAsia="zh-CN"/>
        </w:rPr>
      </w:pPr>
      <w:r>
        <w:rPr>
          <w:rFonts w:hint="eastAsia"/>
          <w:i w:val="0"/>
          <w:iCs w:val="0"/>
          <w:lang w:val="en-US" w:eastAsia="zh-CN"/>
        </w:rPr>
        <w:t>附表A-3中的管道</w:t>
      </w:r>
      <w:r>
        <w:rPr>
          <w:rFonts w:hint="default"/>
          <w:i w:val="0"/>
          <w:iCs w:val="0"/>
          <w:lang w:val="en-US" w:eastAsia="zh-CN"/>
        </w:rPr>
        <w:t>包含了工艺管道、给排水管道</w:t>
      </w:r>
      <w:r>
        <w:rPr>
          <w:rFonts w:hint="eastAsia"/>
          <w:i w:val="0"/>
          <w:iCs w:val="0"/>
          <w:lang w:val="en-US" w:eastAsia="zh-CN"/>
        </w:rPr>
        <w:t>和</w:t>
      </w:r>
      <w:r>
        <w:rPr>
          <w:rFonts w:hint="default"/>
          <w:i w:val="0"/>
          <w:iCs w:val="0"/>
          <w:lang w:val="en-US" w:eastAsia="zh-CN"/>
        </w:rPr>
        <w:t>暖通管道。</w:t>
      </w:r>
    </w:p>
    <w:p w14:paraId="39BD693B">
      <w:pPr>
        <w:pStyle w:val="38"/>
        <w:rPr>
          <w:rFonts w:hint="default"/>
          <w:lang w:val="en-US" w:eastAsia="zh-CN"/>
        </w:rPr>
      </w:pPr>
      <w:r>
        <w:rPr>
          <w:rFonts w:hint="eastAsia"/>
          <w:b/>
          <w:bCs/>
          <w:lang w:val="en-US" w:eastAsia="zh-CN"/>
        </w:rPr>
        <w:t>4.3.4</w:t>
      </w:r>
      <w:r>
        <w:rPr>
          <w:rFonts w:hint="eastAsia"/>
          <w:lang w:val="en-US" w:eastAsia="zh-CN"/>
        </w:rPr>
        <w:t xml:space="preserve">  核电站核岛安装工程施工BIM应用的模型单元应写入必要的属性信息，根据每一项应用需求为所涉及的模型单元选取相应的信息深度，并符合唯一性和一致性原则。</w:t>
      </w:r>
    </w:p>
    <w:p w14:paraId="6C0D3B6C">
      <w:pPr>
        <w:pStyle w:val="38"/>
        <w:bidi w:val="0"/>
        <w:rPr>
          <w:rFonts w:hint="default"/>
          <w:lang w:val="en-US" w:eastAsia="zh-CN"/>
        </w:rPr>
      </w:pPr>
      <w:r>
        <w:rPr>
          <w:rFonts w:hint="eastAsia"/>
          <w:b/>
          <w:bCs/>
          <w:lang w:val="en-US" w:eastAsia="zh-CN"/>
        </w:rPr>
        <w:t>4.3.6</w:t>
      </w:r>
      <w:r>
        <w:rPr>
          <w:rFonts w:hint="eastAsia"/>
          <w:lang w:val="en-US" w:eastAsia="zh-CN"/>
        </w:rPr>
        <w:t xml:space="preserve">  条表格引用国家标准《建筑信息模型施工应用标准》GB/T 51235-2017的表4.3.1。“竣工验收”强调的是接收方的动作，而本标准各项条款的规定针对的是施工方，因此改为“竣工交付”，强调交出方的行为。</w:t>
      </w:r>
    </w:p>
    <w:p w14:paraId="5ED90B58">
      <w:pPr>
        <w:pStyle w:val="38"/>
        <w:rPr>
          <w:rFonts w:hint="eastAsia"/>
          <w:i w:val="0"/>
          <w:iCs w:val="0"/>
          <w:highlight w:val="none"/>
          <w:lang w:val="en-US" w:eastAsia="zh-CN"/>
        </w:rPr>
      </w:pPr>
      <w:r>
        <w:rPr>
          <w:rFonts w:hint="eastAsia"/>
          <w:b/>
          <w:bCs/>
          <w:lang w:val="en-US" w:eastAsia="zh-CN"/>
        </w:rPr>
        <w:t>4.3.7</w:t>
      </w:r>
      <w:r>
        <w:rPr>
          <w:rFonts w:hint="eastAsia"/>
          <w:lang w:val="en-US" w:eastAsia="zh-CN"/>
        </w:rPr>
        <w:t xml:space="preserve">  </w:t>
      </w:r>
      <w:r>
        <w:rPr>
          <w:rFonts w:hint="eastAsia"/>
          <w:i w:val="0"/>
          <w:iCs w:val="0"/>
          <w:highlight w:val="none"/>
          <w:lang w:val="en-US" w:eastAsia="zh-CN"/>
        </w:rPr>
        <w:t>竣工交付模型是基于施工过程模型形成的，两种模型精细度的差异主要体现在非几何信息的不同上。需要附加或关联的相关交付信息和资料要求见本标准9.3节。</w:t>
      </w:r>
    </w:p>
    <w:p w14:paraId="2C3420F6">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lang w:val="en-US" w:eastAsia="zh-CN"/>
        </w:rPr>
      </w:pPr>
      <w:r>
        <w:rPr>
          <w:rFonts w:hint="default"/>
          <w:i w:val="0"/>
          <w:iCs w:val="0"/>
          <w:highlight w:val="none"/>
          <w:lang w:val="en-US" w:eastAsia="zh-CN"/>
        </w:rPr>
        <w:t>核电站核岛安装工程</w:t>
      </w:r>
      <w:r>
        <w:rPr>
          <w:rFonts w:hint="eastAsia"/>
          <w:i w:val="0"/>
          <w:iCs w:val="0"/>
          <w:highlight w:val="none"/>
          <w:lang w:val="en-US" w:eastAsia="zh-CN"/>
        </w:rPr>
        <w:t>通常</w:t>
      </w:r>
      <w:r>
        <w:rPr>
          <w:rFonts w:hint="default"/>
          <w:i w:val="0"/>
          <w:iCs w:val="0"/>
          <w:highlight w:val="none"/>
          <w:lang w:val="en-US" w:eastAsia="zh-CN"/>
        </w:rPr>
        <w:t>在管道和通风空调专业开展深化设计，因此，</w:t>
      </w:r>
      <w:r>
        <w:rPr>
          <w:rFonts w:hint="eastAsia"/>
          <w:i w:val="0"/>
          <w:iCs w:val="0"/>
          <w:highlight w:val="none"/>
          <w:lang w:val="en-US" w:eastAsia="zh-CN"/>
        </w:rPr>
        <w:t>附录C中</w:t>
      </w:r>
      <w:r>
        <w:rPr>
          <w:rFonts w:hint="default"/>
          <w:i w:val="0"/>
          <w:iCs w:val="0"/>
          <w:highlight w:val="none"/>
          <w:lang w:val="en-US" w:eastAsia="zh-CN"/>
        </w:rPr>
        <w:t>只规定了管道和通风空调专业的深化设计模型宜达到的几何表达精度和信息深度。施工信息主要包含进度计划、安装时间、安装者、检查时间、检查者、质量记录、变更信息等。</w:t>
      </w:r>
    </w:p>
    <w:p w14:paraId="4B57C5A9">
      <w:pPr>
        <w:pStyle w:val="38"/>
        <w:bidi w:val="0"/>
        <w:rPr>
          <w:rFonts w:hint="default"/>
          <w:lang w:val="en-US" w:eastAsia="zh-CN"/>
        </w:rPr>
      </w:pPr>
      <w:r>
        <w:rPr>
          <w:rFonts w:hint="eastAsia"/>
          <w:b/>
          <w:bCs/>
          <w:lang w:val="en-US" w:eastAsia="zh-CN"/>
        </w:rPr>
        <w:t>4.3.8</w:t>
      </w:r>
      <w:r>
        <w:rPr>
          <w:rFonts w:hint="eastAsia"/>
          <w:lang w:val="en-US" w:eastAsia="zh-CN"/>
        </w:rPr>
        <w:t xml:space="preserve">  </w:t>
      </w:r>
      <w:r>
        <w:rPr>
          <w:rFonts w:hint="eastAsia"/>
          <w:i w:val="0"/>
          <w:iCs w:val="0"/>
          <w:highlight w:val="none"/>
          <w:lang w:val="en-US" w:eastAsia="zh-CN"/>
        </w:rPr>
        <w:t>文档、图形、图像、视频等可以作为非几何信息与施工模型进行关联，使核电站核岛安装工程的施工信息更加便于理解。</w:t>
      </w:r>
    </w:p>
    <w:p w14:paraId="4C099BF7">
      <w:pPr>
        <w:pStyle w:val="38"/>
        <w:bidi w:val="0"/>
        <w:rPr>
          <w:rFonts w:hint="eastAsia"/>
          <w:lang w:val="en-US" w:eastAsia="zh-CN"/>
        </w:rPr>
      </w:pPr>
    </w:p>
    <w:p w14:paraId="0B279149">
      <w:pPr>
        <w:rPr>
          <w:rFonts w:hint="eastAsia"/>
          <w:i/>
          <w:iCs/>
          <w:lang w:val="en-US" w:eastAsia="zh-CN"/>
        </w:rPr>
      </w:pPr>
      <w:r>
        <w:rPr>
          <w:rFonts w:hint="eastAsia"/>
          <w:i/>
          <w:iCs/>
          <w:lang w:val="en-US" w:eastAsia="zh-CN"/>
        </w:rPr>
        <w:br w:type="page"/>
      </w:r>
    </w:p>
    <w:p w14:paraId="451F7C93">
      <w:pPr>
        <w:pStyle w:val="2"/>
        <w:bidi w:val="0"/>
        <w:rPr>
          <w:rFonts w:hint="default"/>
          <w:lang w:val="en-US" w:eastAsia="zh-CN"/>
        </w:rPr>
      </w:pPr>
      <w:bookmarkStart w:id="300" w:name="_Toc8127"/>
      <w:bookmarkStart w:id="301" w:name="_Toc16132"/>
      <w:bookmarkStart w:id="302" w:name="_Toc2261"/>
      <w:bookmarkStart w:id="303" w:name="_Toc32604"/>
      <w:bookmarkStart w:id="304" w:name="_Toc26721"/>
      <w:bookmarkStart w:id="305" w:name="_Toc13004"/>
      <w:bookmarkStart w:id="306" w:name="_Toc13415"/>
      <w:r>
        <w:rPr>
          <w:rFonts w:hint="eastAsia"/>
          <w:lang w:val="en-US" w:eastAsia="zh-CN"/>
        </w:rPr>
        <w:t>深化设计</w:t>
      </w:r>
      <w:bookmarkEnd w:id="300"/>
      <w:bookmarkEnd w:id="301"/>
      <w:bookmarkEnd w:id="302"/>
      <w:bookmarkEnd w:id="303"/>
      <w:bookmarkEnd w:id="304"/>
      <w:bookmarkEnd w:id="305"/>
      <w:bookmarkEnd w:id="306"/>
    </w:p>
    <w:p w14:paraId="6B8BE83D">
      <w:pPr>
        <w:pStyle w:val="3"/>
        <w:bidi w:val="0"/>
        <w:rPr>
          <w:rFonts w:hint="default"/>
          <w:lang w:val="en-US" w:eastAsia="zh-CN"/>
        </w:rPr>
      </w:pPr>
      <w:bookmarkStart w:id="307" w:name="_Toc31423"/>
      <w:bookmarkStart w:id="308" w:name="_Toc27324"/>
      <w:bookmarkStart w:id="309" w:name="_Toc14949"/>
      <w:bookmarkStart w:id="310" w:name="_Toc4691"/>
      <w:bookmarkStart w:id="311" w:name="_Toc29382"/>
      <w:bookmarkStart w:id="312" w:name="_Toc13421"/>
      <w:bookmarkStart w:id="313" w:name="_Toc17910"/>
      <w:r>
        <w:rPr>
          <w:rFonts w:hint="eastAsia"/>
          <w:lang w:val="en-US" w:eastAsia="zh-CN"/>
        </w:rPr>
        <w:t>一般规定</w:t>
      </w:r>
      <w:bookmarkEnd w:id="307"/>
      <w:bookmarkEnd w:id="308"/>
      <w:bookmarkEnd w:id="309"/>
      <w:bookmarkEnd w:id="310"/>
      <w:bookmarkEnd w:id="311"/>
      <w:bookmarkEnd w:id="312"/>
      <w:bookmarkEnd w:id="313"/>
    </w:p>
    <w:p w14:paraId="77FF5E84">
      <w:pPr>
        <w:pStyle w:val="38"/>
        <w:numPr>
          <w:ilvl w:val="0"/>
          <w:numId w:val="0"/>
        </w:numPr>
        <w:tabs>
          <w:tab w:val="left" w:pos="0"/>
        </w:tabs>
        <w:bidi w:val="0"/>
        <w:ind w:leftChars="0"/>
        <w:rPr>
          <w:rFonts w:hint="eastAsia"/>
          <w:i w:val="0"/>
          <w:iCs w:val="0"/>
          <w:highlight w:val="none"/>
          <w:lang w:val="en-US" w:eastAsia="zh-CN"/>
        </w:rPr>
      </w:pPr>
      <w:r>
        <w:rPr>
          <w:rFonts w:hint="eastAsia"/>
          <w:b/>
          <w:bCs/>
          <w:lang w:val="en-US" w:eastAsia="zh-CN"/>
        </w:rPr>
        <w:t>5.1.1</w:t>
      </w:r>
      <w:r>
        <w:rPr>
          <w:rFonts w:hint="eastAsia"/>
          <w:lang w:val="en-US" w:eastAsia="zh-CN"/>
        </w:rPr>
        <w:t xml:space="preserve">  </w:t>
      </w:r>
      <w:r>
        <w:rPr>
          <w:rFonts w:hint="eastAsia"/>
          <w:i w:val="0"/>
          <w:iCs w:val="0"/>
          <w:highlight w:val="none"/>
          <w:lang w:val="en-US" w:eastAsia="zh-CN"/>
        </w:rPr>
        <w:t>在核岛安装工程中，通常管道和通风空调专业需要根据上游设计出版的施工图设计文件进行深化设计。深化设计的工作主要包括对管道管线进行分段、编号，标识出管线上的现场焊口、预制焊口的位置；对风管进行分段、编号，标出支吊架位置并编号，在图纸中标出管段的详细尺寸或绘制管段加工图；编制工程量清单等工作。以往该深化设计工作都是在二维图纸中，按照图面尺寸计算后对管道管线和风管进行分段，可视化程度低，出错率高。在应用BIM技术后，深化设计可以通过创建深化设计模型后，利用模型来完成。</w:t>
      </w:r>
    </w:p>
    <w:p w14:paraId="24DE4CBE">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5.1.2、5.1.3</w:t>
      </w:r>
      <w:r>
        <w:rPr>
          <w:rFonts w:hint="eastAsia"/>
          <w:i w:val="0"/>
          <w:iCs w:val="0"/>
          <w:highlight w:val="none"/>
          <w:lang w:val="en-US" w:eastAsia="zh-CN"/>
        </w:rPr>
        <w:t xml:space="preserve">  基于BIM的深化设计流程不能够完全脱离现有的管理流程，但是必须符合BIM技术的特征，特别是对于流程中的每一个环节涉及BIM的数据都要尽可能地详细规定。</w:t>
      </w:r>
    </w:p>
    <w:p w14:paraId="64C0D325">
      <w:pPr>
        <w:pStyle w:val="3"/>
        <w:bidi w:val="0"/>
        <w:rPr>
          <w:rFonts w:hint="default"/>
          <w:lang w:val="en-US" w:eastAsia="zh-CN"/>
        </w:rPr>
      </w:pPr>
      <w:bookmarkStart w:id="314" w:name="_Toc22837"/>
      <w:bookmarkStart w:id="315" w:name="_Toc24865"/>
      <w:bookmarkStart w:id="316" w:name="_Toc20603"/>
      <w:bookmarkStart w:id="317" w:name="_Toc5459"/>
      <w:bookmarkStart w:id="318" w:name="_Toc1134"/>
      <w:bookmarkStart w:id="319" w:name="_Toc4214"/>
      <w:bookmarkStart w:id="320" w:name="_Toc12633"/>
      <w:r>
        <w:rPr>
          <w:rFonts w:hint="eastAsia"/>
          <w:lang w:val="en-US" w:eastAsia="zh-CN"/>
        </w:rPr>
        <w:t>深化设计BIM应用原则</w:t>
      </w:r>
      <w:bookmarkEnd w:id="314"/>
      <w:bookmarkEnd w:id="315"/>
      <w:bookmarkEnd w:id="316"/>
      <w:bookmarkEnd w:id="317"/>
      <w:bookmarkEnd w:id="318"/>
      <w:bookmarkEnd w:id="319"/>
      <w:bookmarkEnd w:id="320"/>
    </w:p>
    <w:p w14:paraId="1B71E269">
      <w:pPr>
        <w:pStyle w:val="38"/>
        <w:numPr>
          <w:ilvl w:val="0"/>
          <w:numId w:val="0"/>
        </w:numPr>
        <w:tabs>
          <w:tab w:val="left" w:pos="0"/>
        </w:tabs>
        <w:bidi w:val="0"/>
        <w:ind w:leftChars="0"/>
        <w:rPr>
          <w:rFonts w:hint="default"/>
          <w:i w:val="0"/>
          <w:iCs w:val="0"/>
          <w:highlight w:val="none"/>
          <w:lang w:val="en-US" w:eastAsia="zh-CN"/>
        </w:rPr>
      </w:pPr>
      <w:r>
        <w:rPr>
          <w:rFonts w:hint="eastAsia"/>
          <w:b/>
          <w:bCs/>
          <w:lang w:val="en-US" w:eastAsia="zh-CN"/>
        </w:rPr>
        <w:t>5.2.1</w:t>
      </w:r>
      <w:r>
        <w:rPr>
          <w:rFonts w:hint="eastAsia"/>
          <w:lang w:val="en-US" w:eastAsia="zh-CN"/>
        </w:rPr>
        <w:t xml:space="preserve">  </w:t>
      </w:r>
      <w:r>
        <w:rPr>
          <w:rFonts w:hint="eastAsia"/>
          <w:i w:val="0"/>
          <w:iCs w:val="0"/>
          <w:color w:val="auto"/>
          <w:highlight w:val="none"/>
          <w:lang w:val="en-US" w:eastAsia="zh-CN"/>
        </w:rPr>
        <w:t>核岛安装工程管道、通风空调专业的深化设计，通常是在二维施工图纸中进行，在深化设计BIM应用过程中，可以利用创建的模型来辅助完成深化设计工作，包括校核上游设计系统布置的合理性、输出深化设计图和工程量清单等。</w:t>
      </w:r>
    </w:p>
    <w:p w14:paraId="1A48676B">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5.2.5</w:t>
      </w:r>
      <w:r>
        <w:rPr>
          <w:rFonts w:hint="eastAsia"/>
          <w:i w:val="0"/>
          <w:iCs w:val="0"/>
          <w:highlight w:val="none"/>
          <w:lang w:val="en-US" w:eastAsia="zh-CN"/>
        </w:rPr>
        <w:t xml:space="preserve">  深化设计模型用于预制加工有两种方式，一是将深化设计模型与预制加工设备直接进行数据联通，利用模型进行预制加工；二是利用深化设计模型生成加工图和工程量清单，然后人工根据加工图和工程量清单完成下料和加工。核岛安装工程管道和通风空调专业主要采用第二种方式利用深化设计模型开展预制加工。</w:t>
      </w:r>
    </w:p>
    <w:p w14:paraId="16DB8DD0">
      <w:pPr>
        <w:pStyle w:val="3"/>
        <w:bidi w:val="0"/>
        <w:rPr>
          <w:rFonts w:hint="default"/>
          <w:lang w:val="en-US" w:eastAsia="zh-CN"/>
        </w:rPr>
      </w:pPr>
      <w:bookmarkStart w:id="321" w:name="_Toc15014"/>
      <w:bookmarkStart w:id="322" w:name="_Toc12904"/>
      <w:bookmarkStart w:id="323" w:name="_Toc5944"/>
      <w:bookmarkStart w:id="324" w:name="_Toc21903"/>
      <w:bookmarkStart w:id="325" w:name="_Toc1755"/>
      <w:bookmarkStart w:id="326" w:name="_Toc1339"/>
      <w:bookmarkStart w:id="327" w:name="_Toc23742"/>
      <w:r>
        <w:rPr>
          <w:rFonts w:hint="eastAsia"/>
          <w:lang w:val="en-US" w:eastAsia="zh-CN"/>
        </w:rPr>
        <w:t>深化设计BIM应用内容</w:t>
      </w:r>
      <w:bookmarkEnd w:id="321"/>
      <w:bookmarkEnd w:id="322"/>
      <w:bookmarkEnd w:id="323"/>
      <w:bookmarkEnd w:id="324"/>
      <w:bookmarkEnd w:id="325"/>
      <w:bookmarkEnd w:id="326"/>
      <w:bookmarkEnd w:id="327"/>
    </w:p>
    <w:p w14:paraId="5B5C1365">
      <w:pPr>
        <w:pStyle w:val="38"/>
        <w:numPr>
          <w:ilvl w:val="0"/>
          <w:numId w:val="0"/>
        </w:numPr>
        <w:tabs>
          <w:tab w:val="left" w:pos="0"/>
        </w:tabs>
        <w:bidi w:val="0"/>
        <w:ind w:leftChars="0"/>
        <w:rPr>
          <w:rFonts w:hint="eastAsia"/>
          <w:i w:val="0"/>
          <w:iCs w:val="0"/>
          <w:highlight w:val="none"/>
          <w:lang w:val="en-US" w:eastAsia="zh-CN"/>
        </w:rPr>
      </w:pPr>
      <w:r>
        <w:rPr>
          <w:rFonts w:hint="eastAsia"/>
          <w:b/>
          <w:bCs/>
          <w:lang w:val="en-US" w:eastAsia="zh-CN"/>
        </w:rPr>
        <w:t>5.3.1</w:t>
      </w:r>
      <w:r>
        <w:rPr>
          <w:rFonts w:hint="eastAsia"/>
          <w:lang w:val="en-US" w:eastAsia="zh-CN"/>
        </w:rPr>
        <w:t xml:space="preserve">  </w:t>
      </w:r>
      <w:r>
        <w:rPr>
          <w:rFonts w:hint="eastAsia"/>
          <w:i w:val="0"/>
          <w:iCs w:val="0"/>
          <w:highlight w:val="none"/>
          <w:lang w:val="en-US" w:eastAsia="zh-CN"/>
        </w:rPr>
        <w:t>根据核岛安装工程管道、通风空调专业深化设计工作内容规定深化设计BIM应用内容。</w:t>
      </w:r>
    </w:p>
    <w:p w14:paraId="29382C14">
      <w:pPr>
        <w:pStyle w:val="38"/>
        <w:numPr>
          <w:ilvl w:val="0"/>
          <w:numId w:val="0"/>
        </w:numPr>
        <w:tabs>
          <w:tab w:val="left" w:pos="0"/>
        </w:tabs>
        <w:bidi w:val="0"/>
        <w:ind w:leftChars="0"/>
        <w:rPr>
          <w:rFonts w:hint="eastAsia"/>
          <w:i w:val="0"/>
          <w:iCs w:val="0"/>
          <w:highlight w:val="none"/>
          <w:lang w:val="en-US" w:eastAsia="zh-CN"/>
        </w:rPr>
      </w:pPr>
      <w:r>
        <w:rPr>
          <w:rFonts w:hint="eastAsia"/>
          <w:b/>
          <w:bCs/>
          <w:i w:val="0"/>
          <w:iCs w:val="0"/>
          <w:highlight w:val="none"/>
          <w:lang w:val="en-US" w:eastAsia="zh-CN"/>
        </w:rPr>
        <w:t>5.3.2、5.3.3</w:t>
      </w:r>
      <w:r>
        <w:rPr>
          <w:rFonts w:hint="eastAsia"/>
          <w:i w:val="0"/>
          <w:iCs w:val="0"/>
          <w:highlight w:val="none"/>
          <w:lang w:val="en-US" w:eastAsia="zh-CN"/>
        </w:rPr>
        <w:t xml:space="preserve">  利用深化设计模型确定管道分段、焊口位置，以及风管分段、支吊架位置，有利于提升深化设计的可视化程度，提高设计质量。在完成几何模型深化设计的基础上，将管段和支吊架编号、焊口标识添加到深化设计模型中，使模型的非几何信息更加丰富，方便后续施工BIM应用中信息检索、浏览、查询、统计工作的开展。</w:t>
      </w:r>
    </w:p>
    <w:p w14:paraId="04FEFD37">
      <w:pPr>
        <w:pStyle w:val="38"/>
        <w:numPr>
          <w:ilvl w:val="0"/>
          <w:numId w:val="0"/>
        </w:numPr>
        <w:tabs>
          <w:tab w:val="left" w:pos="0"/>
        </w:tabs>
        <w:bidi w:val="0"/>
        <w:ind w:leftChars="0"/>
        <w:rPr>
          <w:rFonts w:hint="eastAsia"/>
          <w:i w:val="0"/>
          <w:iCs w:val="0"/>
          <w:highlight w:val="none"/>
          <w:lang w:val="en-US" w:eastAsia="zh-CN"/>
        </w:rPr>
      </w:pPr>
      <w:r>
        <w:rPr>
          <w:rFonts w:hint="eastAsia"/>
          <w:b/>
          <w:bCs/>
          <w:i w:val="0"/>
          <w:iCs w:val="0"/>
          <w:highlight w:val="none"/>
          <w:lang w:val="en-US" w:eastAsia="zh-CN"/>
        </w:rPr>
        <w:t>5.3.4</w:t>
      </w:r>
      <w:r>
        <w:rPr>
          <w:rFonts w:hint="eastAsia"/>
          <w:i w:val="0"/>
          <w:iCs w:val="0"/>
          <w:highlight w:val="none"/>
          <w:lang w:val="en-US" w:eastAsia="zh-CN"/>
        </w:rPr>
        <w:t xml:space="preserve">  </w:t>
      </w:r>
      <w:r>
        <w:rPr>
          <w:rFonts w:hint="eastAsia"/>
          <w:i w:val="0"/>
          <w:iCs w:val="0"/>
          <w:color w:val="auto"/>
          <w:highlight w:val="none"/>
          <w:lang w:val="en-US" w:eastAsia="zh-CN"/>
        </w:rPr>
        <w:t>由施工单位组织实施的模块化设计，首先考虑在深化设计阶段随着管线分段一同完成。在深化设计阶段开展模块化设计时，需要在深化设计模型中体现出模块划分的具体界限。</w:t>
      </w:r>
    </w:p>
    <w:p w14:paraId="044C560A">
      <w:pPr>
        <w:pStyle w:val="38"/>
        <w:numPr>
          <w:ilvl w:val="0"/>
          <w:numId w:val="0"/>
        </w:numPr>
        <w:tabs>
          <w:tab w:val="left" w:pos="0"/>
        </w:tabs>
        <w:bidi w:val="0"/>
        <w:ind w:leftChars="0"/>
        <w:rPr>
          <w:rFonts w:hint="default"/>
          <w:i w:val="0"/>
          <w:iCs w:val="0"/>
          <w:highlight w:val="none"/>
          <w:lang w:val="en-US" w:eastAsia="zh-CN"/>
        </w:rPr>
      </w:pPr>
    </w:p>
    <w:p w14:paraId="57D90096">
      <w:r>
        <w:br w:type="page"/>
      </w:r>
    </w:p>
    <w:p w14:paraId="5DB1ABBC">
      <w:pPr>
        <w:pStyle w:val="2"/>
        <w:bidi w:val="0"/>
        <w:rPr>
          <w:rFonts w:hint="default"/>
          <w:lang w:val="en-US" w:eastAsia="zh-CN"/>
        </w:rPr>
      </w:pPr>
      <w:bookmarkStart w:id="328" w:name="_Toc31095"/>
      <w:bookmarkStart w:id="329" w:name="_Toc18011"/>
      <w:bookmarkStart w:id="330" w:name="_Toc18684"/>
      <w:bookmarkStart w:id="331" w:name="_Toc23531"/>
      <w:bookmarkStart w:id="332" w:name="_Toc16182"/>
      <w:bookmarkStart w:id="333" w:name="_Toc14844"/>
      <w:bookmarkStart w:id="334" w:name="_Toc23195"/>
      <w:r>
        <w:rPr>
          <w:rFonts w:hint="eastAsia"/>
          <w:lang w:val="en-US" w:eastAsia="zh-CN"/>
        </w:rPr>
        <w:t>技术准备</w:t>
      </w:r>
      <w:bookmarkEnd w:id="328"/>
      <w:bookmarkEnd w:id="329"/>
      <w:bookmarkEnd w:id="330"/>
      <w:bookmarkEnd w:id="331"/>
      <w:bookmarkEnd w:id="332"/>
      <w:bookmarkEnd w:id="333"/>
      <w:bookmarkEnd w:id="334"/>
    </w:p>
    <w:p w14:paraId="66A4E7AF">
      <w:pPr>
        <w:pStyle w:val="3"/>
        <w:bidi w:val="0"/>
        <w:rPr>
          <w:rFonts w:hint="default"/>
          <w:lang w:val="en-US" w:eastAsia="zh-CN"/>
        </w:rPr>
      </w:pPr>
      <w:bookmarkStart w:id="335" w:name="_Toc26329"/>
      <w:bookmarkStart w:id="336" w:name="_Toc26459"/>
      <w:bookmarkStart w:id="337" w:name="_Toc32071"/>
      <w:bookmarkStart w:id="338" w:name="_Toc30605"/>
      <w:r>
        <w:rPr>
          <w:rFonts w:hint="eastAsia"/>
          <w:lang w:val="en-US" w:eastAsia="zh-CN"/>
        </w:rPr>
        <w:t>一般规定</w:t>
      </w:r>
      <w:bookmarkEnd w:id="335"/>
      <w:bookmarkEnd w:id="336"/>
      <w:bookmarkEnd w:id="337"/>
      <w:bookmarkEnd w:id="338"/>
    </w:p>
    <w:p w14:paraId="1FBC8F9E">
      <w:pPr>
        <w:pStyle w:val="38"/>
        <w:numPr>
          <w:ilvl w:val="0"/>
          <w:numId w:val="0"/>
        </w:numPr>
        <w:tabs>
          <w:tab w:val="left" w:pos="0"/>
        </w:tabs>
        <w:bidi w:val="0"/>
        <w:ind w:leftChars="0"/>
        <w:rPr>
          <w:rFonts w:hint="default"/>
          <w:i w:val="0"/>
          <w:iCs w:val="0"/>
          <w:highlight w:val="none"/>
          <w:lang w:val="en-US" w:eastAsia="zh-CN"/>
        </w:rPr>
      </w:pPr>
      <w:r>
        <w:rPr>
          <w:rFonts w:hint="eastAsia"/>
          <w:b/>
          <w:bCs/>
          <w:lang w:val="en-US" w:eastAsia="zh-CN"/>
        </w:rPr>
        <w:t>6.1.2</w:t>
      </w:r>
      <w:r>
        <w:rPr>
          <w:rFonts w:hint="eastAsia"/>
          <w:lang w:val="en-US" w:eastAsia="zh-CN"/>
        </w:rPr>
        <w:t xml:space="preserve">  </w:t>
      </w:r>
      <w:r>
        <w:rPr>
          <w:rFonts w:hint="eastAsia"/>
          <w:i w:val="0"/>
          <w:iCs w:val="0"/>
          <w:highlight w:val="none"/>
          <w:lang w:val="en-US" w:eastAsia="zh-CN"/>
        </w:rPr>
        <w:t>施工图设计和深化设计是施工的上游工作，对应施工图设计模型或深化设计模型，在技术准备阶段使用到的施工模型主要是施工图设计模型或者深化设计模型。</w:t>
      </w:r>
    </w:p>
    <w:p w14:paraId="548F1167">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6.1.4</w:t>
      </w:r>
      <w:r>
        <w:rPr>
          <w:rFonts w:hint="eastAsia"/>
          <w:i w:val="0"/>
          <w:iCs w:val="0"/>
          <w:highlight w:val="none"/>
          <w:lang w:val="en-US" w:eastAsia="zh-CN"/>
        </w:rPr>
        <w:t xml:space="preserve">  核岛安装工程通常以房间或区域为单位组织各专业的施工，此处的区域指某个厂房某个标高范围。在BIM应用过程中，没有必要将整个核岛范围内所有专业的施工模型上传至BIM平台。一是，模型体量过大，数据加载缓慢；二是，冗余信息过多，聚焦度不够，若要定位到施工关注的位置需要剖切、隐藏等繁琐操作。为了使模型定位和浏览更加方便快捷，可以按照房间或区域对施工模型进行拆分，然后上传至BIM平台。</w:t>
      </w:r>
    </w:p>
    <w:p w14:paraId="2B2561B9">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6.1.5</w:t>
      </w:r>
      <w:r>
        <w:rPr>
          <w:rFonts w:hint="eastAsia"/>
          <w:i w:val="0"/>
          <w:iCs w:val="0"/>
          <w:highlight w:val="none"/>
          <w:lang w:val="en-US" w:eastAsia="zh-CN"/>
        </w:rPr>
        <w:t xml:space="preserve">  施工图、技术规格书、变更文件等技术文件是模型创建和施工的依据，在技术准备阶段需要将这些技术文件上传至BIM平台并与对应模型关联，便于后续施工BIM应用时查阅。</w:t>
      </w:r>
    </w:p>
    <w:p w14:paraId="7226704E">
      <w:pPr>
        <w:pStyle w:val="3"/>
        <w:bidi w:val="0"/>
        <w:rPr>
          <w:rFonts w:hint="eastAsia"/>
          <w:lang w:val="en-US" w:eastAsia="zh-CN"/>
        </w:rPr>
      </w:pPr>
      <w:bookmarkStart w:id="339" w:name="_Toc12790"/>
      <w:bookmarkStart w:id="340" w:name="_Toc25793"/>
      <w:bookmarkStart w:id="341" w:name="_Toc32701"/>
      <w:bookmarkStart w:id="342" w:name="_Toc31330"/>
      <w:r>
        <w:rPr>
          <w:rFonts w:hint="eastAsia"/>
          <w:lang w:val="en-US" w:eastAsia="zh-CN"/>
        </w:rPr>
        <w:t>统计与输机</w:t>
      </w:r>
      <w:bookmarkEnd w:id="339"/>
      <w:bookmarkEnd w:id="340"/>
      <w:bookmarkEnd w:id="341"/>
      <w:bookmarkEnd w:id="342"/>
    </w:p>
    <w:p w14:paraId="26A41828">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6.2.1</w:t>
      </w:r>
      <w:r>
        <w:rPr>
          <w:rFonts w:hint="eastAsia"/>
          <w:i w:val="0"/>
          <w:iCs w:val="0"/>
          <w:highlight w:val="none"/>
          <w:lang w:val="en-US" w:eastAsia="zh-CN"/>
        </w:rPr>
        <w:t xml:space="preserve">  利用模型进行统计与输机，主要是使用模型的属性信息，例如，通过读取风管的宽、高截面尺寸和长尺寸计算展开面积；读取模型的编号、位置、材质等属性信息后进行输机。因此，模型单元的信息深度不能太低，具体属性内容需要根据项目统计与输机的实际要求确定。</w:t>
      </w:r>
    </w:p>
    <w:p w14:paraId="02042AD6">
      <w:pPr>
        <w:pStyle w:val="38"/>
        <w:numPr>
          <w:ilvl w:val="0"/>
          <w:numId w:val="0"/>
        </w:numPr>
        <w:tabs>
          <w:tab w:val="left" w:pos="0"/>
        </w:tabs>
        <w:bidi w:val="0"/>
        <w:ind w:leftChars="0"/>
        <w:rPr>
          <w:rFonts w:hint="eastAsia"/>
          <w:i w:val="0"/>
          <w:iCs w:val="0"/>
          <w:highlight w:val="none"/>
          <w:lang w:val="en-US" w:eastAsia="zh-CN"/>
        </w:rPr>
      </w:pPr>
      <w:r>
        <w:rPr>
          <w:rFonts w:hint="eastAsia"/>
          <w:b/>
          <w:bCs/>
          <w:i w:val="0"/>
          <w:iCs w:val="0"/>
          <w:highlight w:val="none"/>
          <w:lang w:val="en-US" w:eastAsia="zh-CN"/>
        </w:rPr>
        <w:t>6.2.2</w:t>
      </w:r>
      <w:r>
        <w:rPr>
          <w:rFonts w:hint="eastAsia"/>
          <w:i w:val="0"/>
          <w:iCs w:val="0"/>
          <w:highlight w:val="none"/>
          <w:lang w:val="en-US" w:eastAsia="zh-CN"/>
        </w:rPr>
        <w:t xml:space="preserve">  此处的工程量包含两种计算方式，区别主要体现在管道工程量的计算上。一种是设计图示尺寸的净量，也称设计量；另一种是《核电厂建设工程预算定额 第5部分：核岛工艺管道安装工程》（NB/T 20358.5）中规定的工程量，即按设计管道中心长度，以“延长米”计算，不扣除各种管件、阀门及部件所占的长度，遇弯管时，按两管交叉的中心线交点计算。核岛安装工程一般两种工程量都需要统计并输机。材料量是指实际采购量，是在工程量的基础上包含了材料消耗量。工程量主要用于编制工程量清单、工程计价（组价）等，材料量主要用于采购计划、材料成本核算、现场物料管理等。</w:t>
      </w:r>
    </w:p>
    <w:p w14:paraId="7BDEF4C4">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i w:val="0"/>
          <w:iCs w:val="0"/>
          <w:highlight w:val="none"/>
          <w:lang w:val="en-US" w:eastAsia="zh-CN"/>
        </w:rPr>
      </w:pPr>
      <w:r>
        <w:rPr>
          <w:rFonts w:hint="eastAsia"/>
          <w:i w:val="0"/>
          <w:iCs w:val="0"/>
          <w:highlight w:val="none"/>
          <w:lang w:val="en-US" w:eastAsia="zh-CN"/>
        </w:rPr>
        <w:t>施工图设计模型不适合用于工程量和材料量的统计，主要原因是施工图设计模型的精细度不够，无法达到工程量和材料量统计的要求。</w:t>
      </w:r>
    </w:p>
    <w:p w14:paraId="6B38F31D">
      <w:pPr>
        <w:pStyle w:val="38"/>
        <w:rPr>
          <w:rFonts w:hint="default"/>
          <w:i w:val="0"/>
          <w:iCs w:val="0"/>
          <w:color w:val="auto"/>
          <w:highlight w:val="none"/>
          <w:lang w:val="en-US" w:eastAsia="zh-CN"/>
        </w:rPr>
      </w:pPr>
      <w:r>
        <w:rPr>
          <w:rFonts w:hint="eastAsia"/>
          <w:b/>
          <w:bCs/>
          <w:i w:val="0"/>
          <w:iCs w:val="0"/>
          <w:highlight w:val="none"/>
          <w:lang w:val="en-US" w:eastAsia="zh-CN"/>
        </w:rPr>
        <w:t>6.2.4</w:t>
      </w:r>
      <w:r>
        <w:rPr>
          <w:rFonts w:hint="eastAsia"/>
          <w:i w:val="0"/>
          <w:iCs w:val="0"/>
          <w:highlight w:val="none"/>
          <w:lang w:val="en-US" w:eastAsia="zh-CN"/>
        </w:rPr>
        <w:t xml:space="preserve">  </w:t>
      </w:r>
      <w:r>
        <w:rPr>
          <w:rFonts w:hint="eastAsia"/>
          <w:i w:val="0"/>
          <w:iCs w:val="0"/>
          <w:color w:val="auto"/>
          <w:highlight w:val="none"/>
          <w:lang w:val="en-US" w:eastAsia="zh-CN"/>
        </w:rPr>
        <w:t>核岛安装工程工程对象众多，输机工作量大，在模型属性信息完整准确的情况下，可以利用深化设计模型完成工程对象信息输机工作，以减少输机的工作量投入。施工图设计模型不适合用于输机，主要原因是施工图设计模型未进行管道和风管的分段，模型精细度达不到输机的要求。</w:t>
      </w:r>
    </w:p>
    <w:p w14:paraId="45B7D2AF">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宋体"/>
          <w:i w:val="0"/>
          <w:iCs w:val="0"/>
          <w:color w:val="auto"/>
          <w:highlight w:val="none"/>
          <w:lang w:val="en-US" w:eastAsia="zh-CN"/>
        </w:rPr>
      </w:pPr>
      <w:r>
        <w:rPr>
          <w:rFonts w:hint="eastAsia"/>
          <w:i w:val="0"/>
          <w:iCs w:val="0"/>
          <w:color w:val="auto"/>
          <w:highlight w:val="none"/>
          <w:lang w:val="en-US" w:eastAsia="zh-CN"/>
        </w:rPr>
        <w:t>直接方式输机，是将</w:t>
      </w:r>
      <w:r>
        <w:rPr>
          <w:rFonts w:hint="eastAsia"/>
          <w:i w:val="0"/>
          <w:iCs w:val="0"/>
          <w:highlight w:val="none"/>
          <w:lang w:val="en-US" w:eastAsia="zh-CN"/>
        </w:rPr>
        <w:t>施工</w:t>
      </w:r>
      <w:r>
        <w:rPr>
          <w:rFonts w:hint="eastAsia"/>
          <w:i w:val="0"/>
          <w:iCs w:val="0"/>
          <w:color w:val="auto"/>
          <w:highlight w:val="none"/>
          <w:lang w:val="en-US" w:eastAsia="zh-CN"/>
        </w:rPr>
        <w:t>模型与工程项目信息化施工管理平台进行数据关联，施工管理平台通过读取施工模型数据获取工程对象信息。也可以通过将BIM模型数据导出成中间数据表格，再将数据表格导入至工程项目信息化施工管理平台的间接方式，完成工程对象信息输机。</w:t>
      </w:r>
    </w:p>
    <w:p w14:paraId="073AC932">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0" w:firstLineChars="0"/>
        <w:textAlignment w:val="auto"/>
        <w:rPr>
          <w:rFonts w:hint="default"/>
          <w:i w:val="0"/>
          <w:iCs w:val="0"/>
          <w:highlight w:val="none"/>
          <w:lang w:val="en-US" w:eastAsia="zh-CN"/>
        </w:rPr>
      </w:pPr>
      <w:r>
        <w:rPr>
          <w:rFonts w:hint="eastAsia"/>
          <w:b/>
          <w:bCs/>
          <w:i w:val="0"/>
          <w:iCs w:val="0"/>
          <w:highlight w:val="none"/>
          <w:lang w:val="en-US" w:eastAsia="zh-CN"/>
        </w:rPr>
        <w:t>6.2.5</w:t>
      </w:r>
      <w:r>
        <w:rPr>
          <w:rFonts w:hint="eastAsia"/>
          <w:i w:val="0"/>
          <w:iCs w:val="0"/>
          <w:highlight w:val="none"/>
          <w:lang w:val="en-US" w:eastAsia="zh-CN"/>
        </w:rPr>
        <w:t xml:space="preserve">  工程项目信息化施工管理平台一般不具备直接读取施工模型数据的功能，需要借助BIM平台进行数据关联。建立工程项目信息化施工管理平台与BIM平台之间的数据接口，工程项目信息化施工管理平台通过读取BIM平台中的施工模型数据完成输机。</w:t>
      </w:r>
    </w:p>
    <w:p w14:paraId="5C0F82E3">
      <w:pPr>
        <w:pStyle w:val="3"/>
        <w:bidi w:val="0"/>
        <w:rPr>
          <w:rFonts w:hint="eastAsia"/>
          <w:lang w:val="en-US" w:eastAsia="zh-CN"/>
        </w:rPr>
      </w:pPr>
      <w:bookmarkStart w:id="343" w:name="_Toc11824"/>
      <w:bookmarkStart w:id="344" w:name="_Toc8861"/>
      <w:bookmarkStart w:id="345" w:name="_Toc9872"/>
      <w:bookmarkStart w:id="346" w:name="_Toc4681"/>
      <w:r>
        <w:rPr>
          <w:rFonts w:hint="eastAsia"/>
          <w:lang w:val="en-US" w:eastAsia="zh-CN"/>
        </w:rPr>
        <w:t>碰撞检查</w:t>
      </w:r>
      <w:bookmarkEnd w:id="343"/>
      <w:bookmarkEnd w:id="344"/>
      <w:bookmarkEnd w:id="345"/>
      <w:bookmarkEnd w:id="346"/>
    </w:p>
    <w:p w14:paraId="36B878DA">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6.3.1</w:t>
      </w:r>
      <w:r>
        <w:rPr>
          <w:rFonts w:hint="eastAsia"/>
          <w:i w:val="0"/>
          <w:iCs w:val="0"/>
          <w:highlight w:val="none"/>
          <w:lang w:val="en-US" w:eastAsia="zh-CN"/>
        </w:rPr>
        <w:t xml:space="preserve">  碰撞检查一般两两进行，专业内部碰撞检查对象包括管线（包含管道、风管、桥架、仪表管）与管线、管线与支吊架、支吊架与支吊架之间的碰撞检查，专业之间的碰撞检查对象包括管线与土建（包含建筑和结构）、管线与设备、支吊架与设备之间的碰撞检查。</w:t>
      </w:r>
    </w:p>
    <w:p w14:paraId="0D2C235C">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6.3.2、6.3.3</w:t>
      </w:r>
      <w:r>
        <w:rPr>
          <w:rFonts w:hint="eastAsia"/>
          <w:i w:val="0"/>
          <w:iCs w:val="0"/>
          <w:highlight w:val="none"/>
          <w:lang w:val="en-US" w:eastAsia="zh-CN"/>
        </w:rPr>
        <w:t xml:space="preserve">  碰撞检查可以在原建模软件中进行，也可以在第三方软件中进行。但往往实际情况是，施工模型是由不同软件创建的，需要由第三方软件将不同软件创建的各种格式的施工模型综合成一个整体之后再进行碰撞检查。目前，有的BIM协同管理平台已经具有了碰撞检查的功能，此时可使用BIM平台进行各专业模型的碰撞检查。</w:t>
      </w:r>
    </w:p>
    <w:p w14:paraId="3421F4A0">
      <w:pPr>
        <w:pStyle w:val="38"/>
        <w:rPr>
          <w:rFonts w:hint="eastAsia"/>
          <w:i w:val="0"/>
          <w:iCs w:val="0"/>
          <w:color w:val="auto"/>
          <w:highlight w:val="none"/>
          <w:lang w:val="en-US" w:eastAsia="zh-CN"/>
        </w:rPr>
      </w:pPr>
      <w:r>
        <w:rPr>
          <w:rFonts w:hint="eastAsia"/>
          <w:b/>
          <w:bCs/>
          <w:i w:val="0"/>
          <w:iCs w:val="0"/>
          <w:highlight w:val="none"/>
          <w:lang w:val="en-US" w:eastAsia="zh-CN"/>
        </w:rPr>
        <w:t>6.3.5</w:t>
      </w:r>
      <w:r>
        <w:rPr>
          <w:rFonts w:hint="eastAsia"/>
          <w:i w:val="0"/>
          <w:iCs w:val="0"/>
          <w:highlight w:val="none"/>
          <w:lang w:val="en-US" w:eastAsia="zh-CN"/>
        </w:rPr>
        <w:t xml:space="preserve">  </w:t>
      </w:r>
      <w:r>
        <w:rPr>
          <w:rFonts w:hint="eastAsia"/>
          <w:i w:val="0"/>
          <w:iCs w:val="0"/>
          <w:color w:val="auto"/>
          <w:highlight w:val="none"/>
          <w:lang w:val="en-US" w:eastAsia="zh-CN"/>
        </w:rPr>
        <w:t>硬碰撞检查距离的含义是，两个或多个模型单元交叉的距离大于等于此数值时，认为是碰撞，小于此数值时不认为是碰撞；软碰撞检查距离的含义是，模型单元之间未直接发生实体交叉或重叠，但间隙小于等于此数值时默认为是碰撞，小于此数值时不认为是碰撞。</w:t>
      </w:r>
    </w:p>
    <w:p w14:paraId="1483D901">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eastAsia"/>
          <w:i w:val="0"/>
          <w:iCs w:val="0"/>
          <w:color w:val="auto"/>
          <w:highlight w:val="none"/>
          <w:lang w:val="en-US" w:eastAsia="zh-CN"/>
        </w:rPr>
        <w:t>核岛安装工程的施工误差一般为±5mm，因此规定设置硬碰撞检查距离不应大于5mm。例如，当硬碰撞检查距离设置为5mm时，假如某两个模型单元交叉的距离为2mm，则不认为是碰撞，安装时可通过施工误差将其避免；假如某两个模型单元交叉的距离为7mm，则判定为碰撞，需要写入碰撞检查报告并进行碰撞问题处理。</w:t>
      </w:r>
    </w:p>
    <w:p w14:paraId="499842B2">
      <w:pPr>
        <w:pStyle w:val="38"/>
        <w:rPr>
          <w:rFonts w:hint="eastAsia"/>
          <w:b w:val="0"/>
          <w:bCs w:val="0"/>
          <w:i w:val="0"/>
          <w:iCs w:val="0"/>
          <w:color w:val="auto"/>
          <w:highlight w:val="none"/>
          <w:lang w:val="en-US" w:eastAsia="zh-CN"/>
        </w:rPr>
      </w:pPr>
      <w:r>
        <w:rPr>
          <w:rFonts w:hint="eastAsia"/>
          <w:b/>
          <w:bCs/>
          <w:i w:val="0"/>
          <w:iCs w:val="0"/>
          <w:highlight w:val="none"/>
          <w:lang w:val="en-US" w:eastAsia="zh-CN"/>
        </w:rPr>
        <w:t>6.3.6</w:t>
      </w:r>
      <w:r>
        <w:rPr>
          <w:rFonts w:hint="eastAsia"/>
          <w:i w:val="0"/>
          <w:iCs w:val="0"/>
          <w:highlight w:val="none"/>
          <w:lang w:val="en-US" w:eastAsia="zh-CN"/>
        </w:rPr>
        <w:t xml:space="preserve"> </w:t>
      </w:r>
      <w:r>
        <w:rPr>
          <w:rFonts w:hint="eastAsia"/>
          <w:b w:val="0"/>
          <w:bCs w:val="0"/>
          <w:i w:val="0"/>
          <w:iCs w:val="0"/>
          <w:highlight w:val="none"/>
          <w:lang w:val="en-US" w:eastAsia="zh-CN"/>
        </w:rPr>
        <w:t xml:space="preserve"> </w:t>
      </w:r>
      <w:r>
        <w:rPr>
          <w:rFonts w:hint="eastAsia"/>
          <w:b w:val="0"/>
          <w:bCs w:val="0"/>
          <w:i w:val="0"/>
          <w:iCs w:val="0"/>
          <w:color w:val="auto"/>
          <w:highlight w:val="none"/>
          <w:lang w:val="en-US" w:eastAsia="zh-CN"/>
        </w:rPr>
        <w:t>碰撞检查报告通常包括以下内容：</w:t>
      </w:r>
    </w:p>
    <w:p w14:paraId="172F0CF0">
      <w:pPr>
        <w:pStyle w:val="38"/>
        <w:keepNext w:val="0"/>
        <w:keepLines w:val="0"/>
        <w:pageBreakBefore w:val="0"/>
        <w:widowControl w:val="0"/>
        <w:numPr>
          <w:ilvl w:val="0"/>
          <w:numId w:val="96"/>
        </w:numPr>
        <w:kinsoku/>
        <w:wordWrap/>
        <w:overflowPunct/>
        <w:topLinePunct w:val="0"/>
        <w:autoSpaceDE/>
        <w:autoSpaceDN/>
        <w:bidi w:val="0"/>
        <w:adjustRightInd/>
        <w:snapToGrid/>
        <w:ind w:left="0" w:leftChars="0" w:firstLine="480" w:firstLineChars="200"/>
        <w:textAlignment w:val="auto"/>
        <w:rPr>
          <w:rFonts w:hint="eastAsia"/>
          <w:b w:val="0"/>
          <w:bCs w:val="0"/>
          <w:i w:val="0"/>
          <w:iCs w:val="0"/>
          <w:lang w:val="en-US" w:eastAsia="zh-CN"/>
        </w:rPr>
      </w:pPr>
      <w:r>
        <w:rPr>
          <w:rFonts w:hint="eastAsia"/>
          <w:b w:val="0"/>
          <w:bCs w:val="0"/>
          <w:i w:val="0"/>
          <w:iCs w:val="0"/>
          <w:lang w:val="en-US" w:eastAsia="zh-CN"/>
        </w:rPr>
        <w:t>碰撞检查内容：说明是专业内部还是专业之间的碰撞检查，以及碰撞检查的对象；</w:t>
      </w:r>
    </w:p>
    <w:p w14:paraId="1B066D46">
      <w:pPr>
        <w:pStyle w:val="38"/>
        <w:keepNext w:val="0"/>
        <w:keepLines w:val="0"/>
        <w:pageBreakBefore w:val="0"/>
        <w:widowControl w:val="0"/>
        <w:numPr>
          <w:ilvl w:val="0"/>
          <w:numId w:val="96"/>
        </w:numPr>
        <w:kinsoku/>
        <w:wordWrap/>
        <w:overflowPunct/>
        <w:topLinePunct w:val="0"/>
        <w:autoSpaceDE/>
        <w:autoSpaceDN/>
        <w:bidi w:val="0"/>
        <w:adjustRightInd/>
        <w:snapToGrid/>
        <w:ind w:left="0" w:leftChars="0" w:firstLine="480" w:firstLineChars="200"/>
        <w:textAlignment w:val="auto"/>
        <w:rPr>
          <w:rFonts w:hint="eastAsia"/>
          <w:b w:val="0"/>
          <w:bCs w:val="0"/>
          <w:i w:val="0"/>
          <w:iCs w:val="0"/>
          <w:lang w:val="en-US" w:eastAsia="zh-CN"/>
        </w:rPr>
      </w:pPr>
      <w:r>
        <w:rPr>
          <w:rFonts w:hint="eastAsia"/>
          <w:b w:val="0"/>
          <w:bCs w:val="0"/>
          <w:i w:val="0"/>
          <w:iCs w:val="0"/>
          <w:lang w:val="en-US" w:eastAsia="zh-CN"/>
        </w:rPr>
        <w:t>碰撞检查方法：说明碰撞检查使用的软件，碰撞距离如何设置等；</w:t>
      </w:r>
    </w:p>
    <w:p w14:paraId="6C698769">
      <w:pPr>
        <w:pStyle w:val="38"/>
        <w:keepNext w:val="0"/>
        <w:keepLines w:val="0"/>
        <w:pageBreakBefore w:val="0"/>
        <w:widowControl w:val="0"/>
        <w:numPr>
          <w:ilvl w:val="0"/>
          <w:numId w:val="96"/>
        </w:numPr>
        <w:kinsoku/>
        <w:wordWrap/>
        <w:overflowPunct/>
        <w:topLinePunct w:val="0"/>
        <w:autoSpaceDE/>
        <w:autoSpaceDN/>
        <w:bidi w:val="0"/>
        <w:adjustRightInd/>
        <w:snapToGrid/>
        <w:ind w:left="0" w:leftChars="0" w:firstLine="480" w:firstLineChars="200"/>
        <w:textAlignment w:val="auto"/>
        <w:rPr>
          <w:rFonts w:hint="eastAsia"/>
          <w:b w:val="0"/>
          <w:bCs w:val="0"/>
          <w:i w:val="0"/>
          <w:iCs w:val="0"/>
          <w:lang w:val="en-US" w:eastAsia="zh-CN"/>
        </w:rPr>
      </w:pPr>
      <w:r>
        <w:rPr>
          <w:rFonts w:hint="eastAsia"/>
          <w:b w:val="0"/>
          <w:bCs w:val="0"/>
          <w:i w:val="0"/>
          <w:iCs w:val="0"/>
          <w:lang w:val="en-US" w:eastAsia="zh-CN"/>
        </w:rPr>
        <w:t>碰撞检查情况：说明检查出的碰撞问题数量、分布，对碰撞问题进行归类并做简要分析；</w:t>
      </w:r>
    </w:p>
    <w:p w14:paraId="783582BF">
      <w:pPr>
        <w:pStyle w:val="38"/>
        <w:keepNext w:val="0"/>
        <w:keepLines w:val="0"/>
        <w:pageBreakBefore w:val="0"/>
        <w:widowControl w:val="0"/>
        <w:numPr>
          <w:ilvl w:val="0"/>
          <w:numId w:val="96"/>
        </w:numPr>
        <w:kinsoku/>
        <w:wordWrap/>
        <w:overflowPunct/>
        <w:topLinePunct w:val="0"/>
        <w:autoSpaceDE/>
        <w:autoSpaceDN/>
        <w:bidi w:val="0"/>
        <w:adjustRightInd/>
        <w:snapToGrid/>
        <w:ind w:left="0" w:leftChars="0" w:firstLine="480" w:firstLineChars="200"/>
        <w:textAlignment w:val="auto"/>
        <w:rPr>
          <w:rFonts w:hint="eastAsia"/>
          <w:b w:val="0"/>
          <w:bCs w:val="0"/>
          <w:i w:val="0"/>
          <w:iCs w:val="0"/>
          <w:lang w:val="en-US" w:eastAsia="zh-CN"/>
        </w:rPr>
      </w:pPr>
      <w:r>
        <w:rPr>
          <w:rFonts w:hint="eastAsia"/>
          <w:b w:val="0"/>
          <w:bCs w:val="0"/>
          <w:i w:val="0"/>
          <w:iCs w:val="0"/>
          <w:lang w:val="en-US" w:eastAsia="zh-CN"/>
        </w:rPr>
        <w:t>碰撞检查问题统计：详细列出检查出的每个碰撞问题，包括碰撞检查对象、碰撞缩略图、对应模型单元名称、碰撞距离等，对碰撞问题进行简要文字描述与分析，如有必要给出建议修改方案。</w:t>
      </w:r>
    </w:p>
    <w:p w14:paraId="7C856A20">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b w:val="0"/>
          <w:bCs w:val="0"/>
          <w:i w:val="0"/>
          <w:iCs w:val="0"/>
          <w:highlight w:val="none"/>
          <w:lang w:val="en-US" w:eastAsia="zh-CN"/>
        </w:rPr>
      </w:pPr>
      <w:r>
        <w:rPr>
          <w:rFonts w:hint="eastAsia"/>
          <w:b w:val="0"/>
          <w:bCs w:val="0"/>
          <w:i w:val="0"/>
          <w:iCs w:val="0"/>
          <w:color w:val="auto"/>
          <w:highlight w:val="none"/>
          <w:lang w:val="en-US" w:eastAsia="zh-CN"/>
        </w:rPr>
        <w:t>按照碰撞检查报告对碰撞问题的统计与分析，对由建模错误或模型精细度不够导致的碰撞，要修改模型；对由于设计错误导致的碰撞，要向设计单位澄清。</w:t>
      </w:r>
    </w:p>
    <w:p w14:paraId="13D1D5B1">
      <w:pPr>
        <w:pStyle w:val="38"/>
        <w:numPr>
          <w:ilvl w:val="0"/>
          <w:numId w:val="0"/>
        </w:numPr>
        <w:tabs>
          <w:tab w:val="left" w:pos="0"/>
        </w:tabs>
        <w:bidi w:val="0"/>
        <w:ind w:leftChars="0"/>
        <w:rPr>
          <w:rFonts w:hint="eastAsia"/>
          <w:i w:val="0"/>
          <w:iCs w:val="0"/>
          <w:highlight w:val="none"/>
          <w:lang w:val="en-US" w:eastAsia="zh-CN"/>
        </w:rPr>
      </w:pPr>
    </w:p>
    <w:p w14:paraId="09A61DF9">
      <w:pPr>
        <w:pStyle w:val="3"/>
        <w:bidi w:val="0"/>
        <w:rPr>
          <w:rFonts w:hint="eastAsia"/>
          <w:lang w:val="en-US" w:eastAsia="zh-CN"/>
        </w:rPr>
      </w:pPr>
      <w:bookmarkStart w:id="347" w:name="_Toc32610"/>
      <w:bookmarkStart w:id="348" w:name="_Toc26816"/>
      <w:bookmarkStart w:id="349" w:name="_Toc15758"/>
      <w:bookmarkStart w:id="350" w:name="_Toc1100"/>
      <w:r>
        <w:rPr>
          <w:rFonts w:hint="eastAsia"/>
          <w:lang w:val="en-US" w:eastAsia="zh-CN"/>
        </w:rPr>
        <w:t>施工模拟</w:t>
      </w:r>
      <w:bookmarkEnd w:id="347"/>
      <w:bookmarkEnd w:id="348"/>
      <w:bookmarkEnd w:id="349"/>
      <w:bookmarkEnd w:id="350"/>
    </w:p>
    <w:p w14:paraId="25FD3C86">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6.4.1</w:t>
      </w:r>
      <w:r>
        <w:rPr>
          <w:rFonts w:hint="eastAsia"/>
          <w:i w:val="0"/>
          <w:iCs w:val="0"/>
          <w:highlight w:val="none"/>
          <w:lang w:val="en-US" w:eastAsia="zh-CN"/>
        </w:rPr>
        <w:t xml:space="preserve">  </w:t>
      </w:r>
      <w:r>
        <w:rPr>
          <w:rFonts w:hint="eastAsia"/>
          <w:i w:val="0"/>
          <w:iCs w:val="0"/>
          <w:color w:val="auto"/>
          <w:highlight w:val="none"/>
          <w:lang w:val="en-US" w:eastAsia="zh-CN"/>
        </w:rPr>
        <w:t>按照《危险性较大的分部分项工程安全管理规定》（住房城乡建设部令第37号，2018年发布），危大工程是指危险性较大的分部分项工程，超危大工程是指超过一定规模的危险性较大的分部分项工程。危大工程和超危大工程范围参见《住房城乡建设部办公厅关于实施</w:t>
      </w:r>
      <w:r>
        <w:rPr>
          <w:rFonts w:hint="eastAsia" w:ascii="宋体" w:hAnsi="宋体" w:eastAsia="宋体" w:cs="宋体"/>
          <w:i w:val="0"/>
          <w:iCs w:val="0"/>
          <w:color w:val="auto"/>
          <w:highlight w:val="none"/>
          <w:lang w:val="en-US" w:eastAsia="zh-CN"/>
        </w:rPr>
        <w:t>&lt;</w:t>
      </w:r>
      <w:r>
        <w:rPr>
          <w:rFonts w:hint="eastAsia"/>
          <w:i w:val="0"/>
          <w:iCs w:val="0"/>
          <w:color w:val="auto"/>
          <w:highlight w:val="none"/>
          <w:lang w:val="en-US" w:eastAsia="zh-CN"/>
        </w:rPr>
        <w:t>危险性较大的分部分项工程安全管理规定</w:t>
      </w:r>
      <w:r>
        <w:rPr>
          <w:rFonts w:hint="eastAsia" w:ascii="宋体" w:hAnsi="宋体" w:eastAsia="宋体" w:cs="宋体"/>
          <w:i w:val="0"/>
          <w:iCs w:val="0"/>
          <w:color w:val="auto"/>
          <w:highlight w:val="none"/>
          <w:lang w:val="en-US" w:eastAsia="zh-CN"/>
        </w:rPr>
        <w:t>&gt;有关问题的通知</w:t>
      </w:r>
      <w:r>
        <w:rPr>
          <w:rFonts w:hint="eastAsia"/>
          <w:i w:val="0"/>
          <w:iCs w:val="0"/>
          <w:color w:val="auto"/>
          <w:highlight w:val="none"/>
          <w:lang w:val="en-US" w:eastAsia="zh-CN"/>
        </w:rPr>
        <w:t>》（建办质</w:t>
      </w:r>
      <w:r>
        <w:rPr>
          <w:rFonts w:hint="eastAsia" w:ascii="宋体" w:hAnsi="宋体" w:eastAsia="宋体" w:cs="宋体"/>
          <w:i w:val="0"/>
          <w:iCs w:val="0"/>
          <w:color w:val="auto"/>
          <w:highlight w:val="none"/>
          <w:lang w:val="en-US" w:eastAsia="zh-CN"/>
        </w:rPr>
        <w:t>〔</w:t>
      </w:r>
      <w:r>
        <w:rPr>
          <w:rFonts w:hint="eastAsia"/>
          <w:i w:val="0"/>
          <w:iCs w:val="0"/>
          <w:color w:val="auto"/>
          <w:highlight w:val="none"/>
          <w:lang w:val="en-US" w:eastAsia="zh-CN"/>
        </w:rPr>
        <w:t>2018</w:t>
      </w:r>
      <w:r>
        <w:rPr>
          <w:rFonts w:hint="eastAsia" w:ascii="宋体" w:hAnsi="宋体" w:eastAsia="宋体" w:cs="宋体"/>
          <w:i w:val="0"/>
          <w:iCs w:val="0"/>
          <w:color w:val="auto"/>
          <w:highlight w:val="none"/>
          <w:lang w:val="en-US" w:eastAsia="zh-CN"/>
        </w:rPr>
        <w:t>〕</w:t>
      </w:r>
      <w:r>
        <w:rPr>
          <w:rFonts w:hint="eastAsia"/>
          <w:i w:val="0"/>
          <w:iCs w:val="0"/>
          <w:color w:val="auto"/>
          <w:highlight w:val="none"/>
          <w:lang w:val="en-US" w:eastAsia="zh-CN"/>
        </w:rPr>
        <w:t>31号）。危大工程、超危大工程，以及其他技术复杂、工艺特殊、缺乏经验或采用新技术、新工艺、新材料、新设备可能影响质量安全的专项工程，都必须编制专项施工方案，并且超危大施工方案还需要组织专家论证。为了准确识别危险源和质量控制难点，提高方案设计的准确性和科学性，上述施工方案应该利用虚拟建造技术进行可视化、模拟分析、技术核算和优化设计。</w:t>
      </w:r>
    </w:p>
    <w:p w14:paraId="6D3B0B0F">
      <w:pPr>
        <w:pStyle w:val="38"/>
        <w:rPr>
          <w:rFonts w:hint="default"/>
          <w:i w:val="0"/>
          <w:iCs w:val="0"/>
          <w:color w:val="auto"/>
          <w:highlight w:val="none"/>
          <w:lang w:val="en-US" w:eastAsia="zh-CN"/>
        </w:rPr>
      </w:pPr>
      <w:r>
        <w:rPr>
          <w:rFonts w:hint="eastAsia"/>
          <w:b/>
          <w:bCs/>
          <w:i w:val="0"/>
          <w:iCs w:val="0"/>
          <w:highlight w:val="none"/>
          <w:lang w:val="en-US" w:eastAsia="zh-CN"/>
        </w:rPr>
        <w:t>6.4.3、6.4.4</w:t>
      </w:r>
      <w:r>
        <w:rPr>
          <w:rFonts w:hint="eastAsia"/>
          <w:i w:val="0"/>
          <w:iCs w:val="0"/>
          <w:highlight w:val="none"/>
          <w:lang w:val="en-US" w:eastAsia="zh-CN"/>
        </w:rPr>
        <w:t xml:space="preserve">  </w:t>
      </w:r>
      <w:r>
        <w:rPr>
          <w:rFonts w:hint="eastAsia"/>
          <w:i w:val="0"/>
          <w:iCs w:val="0"/>
          <w:color w:val="auto"/>
          <w:highlight w:val="none"/>
          <w:lang w:val="en-US" w:eastAsia="zh-CN"/>
        </w:rPr>
        <w:t>核岛安装工程中工程对象密集、工序复杂的区域众多，不合理的施工逻辑容易造成先施工的工程对象阻挡了后施工工程对象的引入，从而造成拆改返工。因此，合理规划这些区域的施工逻辑显得尤为重要。但是，仅靠人工利用二维的施工图纸排布出合理的施工逻辑，十分困难。应用虚拟建造来可视化、模拟和优化施工逻辑，能够大大降低施工逻辑分析与排布的难度，也使施工逻辑的模拟效果更佳直观。</w:t>
      </w:r>
    </w:p>
    <w:p w14:paraId="37B85324">
      <w:pPr>
        <w:pStyle w:val="38"/>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default"/>
          <w:i w:val="0"/>
          <w:iCs w:val="0"/>
          <w:highlight w:val="none"/>
          <w:lang w:val="en-US" w:eastAsia="zh-CN"/>
        </w:rPr>
      </w:pPr>
      <w:r>
        <w:rPr>
          <w:rFonts w:hint="eastAsia"/>
          <w:i w:val="0"/>
          <w:iCs w:val="0"/>
          <w:color w:val="auto"/>
          <w:highlight w:val="none"/>
          <w:lang w:val="en-US" w:eastAsia="zh-CN"/>
        </w:rPr>
        <w:t>核岛安装工程一般按照</w:t>
      </w:r>
      <w:r>
        <w:rPr>
          <w:rFonts w:hint="default"/>
          <w:i w:val="0"/>
          <w:iCs w:val="0"/>
          <w:color w:val="auto"/>
          <w:highlight w:val="none"/>
          <w:lang w:val="en-US" w:eastAsia="zh-CN"/>
        </w:rPr>
        <w:t>“设备优先、先上后下、先里后外、先大后小、先支架后管线、先设备后接管”</w:t>
      </w:r>
      <w:r>
        <w:rPr>
          <w:rFonts w:hint="eastAsia"/>
          <w:i w:val="0"/>
          <w:iCs w:val="0"/>
          <w:color w:val="auto"/>
          <w:highlight w:val="none"/>
          <w:lang w:val="en-US" w:eastAsia="zh-CN"/>
        </w:rPr>
        <w:t>的原则施工。在对施工逻辑分析与排布应用虚拟建造时，可以考虑将上述原则利用施工模型转化成自动化算法，进行施工逻辑自动模拟，以减少人工分析的投入，降低模拟对人员施工经验的依赖。</w:t>
      </w:r>
    </w:p>
    <w:p w14:paraId="542C7059">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6.4.5</w:t>
      </w:r>
      <w:r>
        <w:rPr>
          <w:rFonts w:hint="eastAsia"/>
          <w:i w:val="0"/>
          <w:iCs w:val="0"/>
          <w:highlight w:val="none"/>
          <w:lang w:val="en-US" w:eastAsia="zh-CN"/>
        </w:rPr>
        <w:t xml:space="preserve">  </w:t>
      </w:r>
      <w:r>
        <w:rPr>
          <w:rFonts w:hint="eastAsia"/>
          <w:i w:val="0"/>
          <w:iCs w:val="0"/>
          <w:color w:val="auto"/>
          <w:highlight w:val="none"/>
          <w:lang w:val="en-US" w:eastAsia="zh-CN"/>
        </w:rPr>
        <w:t>资源配置信息包括人工、材料、机械等。</w:t>
      </w:r>
    </w:p>
    <w:p w14:paraId="406DC5D2">
      <w:pPr>
        <w:pStyle w:val="3"/>
        <w:bidi w:val="0"/>
        <w:rPr>
          <w:rFonts w:hint="eastAsia"/>
          <w:lang w:val="en-US" w:eastAsia="zh-CN"/>
        </w:rPr>
      </w:pPr>
      <w:bookmarkStart w:id="351" w:name="_Toc5001"/>
      <w:bookmarkStart w:id="352" w:name="_Toc3154"/>
      <w:bookmarkStart w:id="353" w:name="_Toc19982"/>
      <w:bookmarkStart w:id="354" w:name="_Toc9792"/>
      <w:r>
        <w:rPr>
          <w:rFonts w:hint="eastAsia"/>
          <w:lang w:val="en-US" w:eastAsia="zh-CN"/>
        </w:rPr>
        <w:t>模块化设计</w:t>
      </w:r>
      <w:bookmarkEnd w:id="351"/>
      <w:bookmarkEnd w:id="352"/>
      <w:bookmarkEnd w:id="353"/>
      <w:bookmarkEnd w:id="354"/>
    </w:p>
    <w:p w14:paraId="0585F258">
      <w:pPr>
        <w:pStyle w:val="38"/>
        <w:rPr>
          <w:rFonts w:hint="default"/>
          <w:i/>
          <w:iCs/>
          <w:color w:val="auto"/>
          <w:highlight w:val="none"/>
          <w:lang w:val="en-US" w:eastAsia="zh-CN"/>
        </w:rPr>
      </w:pPr>
      <w:r>
        <w:rPr>
          <w:rFonts w:hint="eastAsia"/>
          <w:b/>
          <w:bCs/>
          <w:i w:val="0"/>
          <w:iCs w:val="0"/>
          <w:highlight w:val="none"/>
          <w:lang w:val="en-US" w:eastAsia="zh-CN"/>
        </w:rPr>
        <w:t>6.5.1</w:t>
      </w:r>
      <w:r>
        <w:rPr>
          <w:rFonts w:hint="eastAsia"/>
          <w:i w:val="0"/>
          <w:iCs w:val="0"/>
          <w:highlight w:val="none"/>
          <w:lang w:val="en-US" w:eastAsia="zh-CN"/>
        </w:rPr>
        <w:t xml:space="preserve">  </w:t>
      </w:r>
      <w:r>
        <w:rPr>
          <w:rFonts w:hint="eastAsia"/>
          <w:i w:val="0"/>
          <w:iCs w:val="0"/>
          <w:color w:val="auto"/>
          <w:highlight w:val="none"/>
          <w:lang w:val="en-US" w:eastAsia="zh-CN"/>
        </w:rPr>
        <w:t>模块化设计优先考虑在深化设计阶段随着管线分段一同完成。但根据合同要求的不同，有些项目没有深化设计工作，或者深化设计不要求进行模块化设计，而施工单位为了提升施工效率，需要开展模块化施工。此时施工单位可以在技术准备阶段利用施工图设计模型或深化设计模型开展模块化设计工作，将可以同时运输、吊装、安装的工程对象设计为模块。</w:t>
      </w:r>
    </w:p>
    <w:p w14:paraId="5C30EEF8">
      <w:pPr>
        <w:pStyle w:val="38"/>
        <w:rPr>
          <w:rFonts w:hint="default"/>
          <w:i w:val="0"/>
          <w:iCs w:val="0"/>
          <w:color w:val="auto"/>
          <w:highlight w:val="none"/>
          <w:lang w:val="en-US" w:eastAsia="zh-CN"/>
        </w:rPr>
      </w:pPr>
      <w:r>
        <w:rPr>
          <w:rFonts w:hint="eastAsia"/>
          <w:b/>
          <w:bCs/>
          <w:i w:val="0"/>
          <w:iCs w:val="0"/>
          <w:highlight w:val="none"/>
          <w:lang w:val="en-US" w:eastAsia="zh-CN"/>
        </w:rPr>
        <w:t>6.5.4</w:t>
      </w:r>
      <w:r>
        <w:rPr>
          <w:rFonts w:hint="eastAsia"/>
          <w:i w:val="0"/>
          <w:iCs w:val="0"/>
          <w:highlight w:val="none"/>
          <w:lang w:val="en-US" w:eastAsia="zh-CN"/>
        </w:rPr>
        <w:t xml:space="preserve">  </w:t>
      </w:r>
      <w:r>
        <w:rPr>
          <w:rFonts w:hint="eastAsia"/>
          <w:i w:val="0"/>
          <w:iCs w:val="0"/>
          <w:color w:val="auto"/>
          <w:highlight w:val="none"/>
          <w:lang w:val="en-US" w:eastAsia="zh-CN"/>
        </w:rPr>
        <w:t>用施工模型进行模块化设计，相当于对施工模型做了进一步的深化，在此过程中新增的模块编号、模块化设计图号等非几何信息应该写入到模型的属性信息中。</w:t>
      </w:r>
    </w:p>
    <w:p w14:paraId="32B2DD41">
      <w:pPr>
        <w:pStyle w:val="38"/>
        <w:rPr>
          <w:rFonts w:hint="default"/>
          <w:i/>
          <w:iCs/>
          <w:color w:val="auto"/>
          <w:highlight w:val="none"/>
          <w:lang w:val="en-US" w:eastAsia="zh-CN"/>
        </w:rPr>
      </w:pPr>
      <w:r>
        <w:rPr>
          <w:rFonts w:hint="eastAsia"/>
          <w:b/>
          <w:bCs/>
          <w:i w:val="0"/>
          <w:iCs w:val="0"/>
          <w:highlight w:val="none"/>
          <w:lang w:val="en-US" w:eastAsia="zh-CN"/>
        </w:rPr>
        <w:t>6.5.5</w:t>
      </w:r>
      <w:r>
        <w:rPr>
          <w:rFonts w:hint="eastAsia"/>
          <w:i w:val="0"/>
          <w:iCs w:val="0"/>
          <w:highlight w:val="none"/>
          <w:lang w:val="en-US" w:eastAsia="zh-CN"/>
        </w:rPr>
        <w:t xml:space="preserve">  </w:t>
      </w:r>
      <w:r>
        <w:rPr>
          <w:rFonts w:hint="eastAsia"/>
          <w:i/>
          <w:iCs/>
          <w:color w:val="auto"/>
          <w:highlight w:val="none"/>
          <w:lang w:val="en-US" w:eastAsia="zh-CN"/>
        </w:rPr>
        <w:t>为</w:t>
      </w:r>
      <w:r>
        <w:rPr>
          <w:rFonts w:hint="eastAsia"/>
          <w:i w:val="0"/>
          <w:iCs w:val="0"/>
          <w:color w:val="auto"/>
          <w:highlight w:val="none"/>
          <w:lang w:val="en-US" w:eastAsia="zh-CN"/>
        </w:rPr>
        <w:t>了减少模块力学计算和加固措施设计的建模投入，可以将模块三维模型导入至力学计算软件和加固措施设计软件中进行计算和设计。但有些情况下模块三维模型格式与力学计算软件和加固措施设计软件不兼容，此时可以通过使用相应的数据接口插件，实现模型向力学计算软件和加固措施设计软件的传递。</w:t>
      </w:r>
    </w:p>
    <w:p w14:paraId="1D3BA9B6">
      <w:pPr>
        <w:pStyle w:val="38"/>
        <w:rPr>
          <w:rFonts w:hint="eastAsia"/>
          <w:i w:val="0"/>
          <w:iCs w:val="0"/>
          <w:highlight w:val="none"/>
          <w:lang w:val="en-US" w:eastAsia="zh-CN"/>
        </w:rPr>
      </w:pPr>
      <w:r>
        <w:rPr>
          <w:rFonts w:hint="eastAsia"/>
          <w:b/>
          <w:bCs/>
          <w:i w:val="0"/>
          <w:iCs w:val="0"/>
          <w:highlight w:val="none"/>
          <w:lang w:val="en-US" w:eastAsia="zh-CN"/>
        </w:rPr>
        <w:t>6.5.6</w:t>
      </w:r>
      <w:r>
        <w:rPr>
          <w:rFonts w:hint="eastAsia"/>
          <w:i w:val="0"/>
          <w:iCs w:val="0"/>
          <w:highlight w:val="none"/>
          <w:lang w:val="en-US" w:eastAsia="zh-CN"/>
        </w:rPr>
        <w:t xml:space="preserve">  </w:t>
      </w:r>
      <w:r>
        <w:rPr>
          <w:rFonts w:hint="eastAsia"/>
          <w:i w:val="0"/>
          <w:iCs w:val="0"/>
          <w:color w:val="auto"/>
          <w:highlight w:val="none"/>
          <w:lang w:val="en-US" w:eastAsia="zh-CN"/>
        </w:rPr>
        <w:t>可视化模拟需要重点关注设计的模块尺寸是否满足厂房内运输通道大小的要求，模块重量和加固措施吊点是否满足运输和吊装的要求，模块安装位置是否有足够的引入和安装空间等内容。</w:t>
      </w:r>
    </w:p>
    <w:p w14:paraId="2FACEF04">
      <w:pPr>
        <w:rPr>
          <w:rFonts w:hint="eastAsia"/>
          <w:i w:val="0"/>
          <w:iCs w:val="0"/>
          <w:highlight w:val="none"/>
          <w:lang w:val="en-US" w:eastAsia="zh-CN"/>
        </w:rPr>
      </w:pPr>
      <w:r>
        <w:rPr>
          <w:rFonts w:hint="eastAsia"/>
          <w:i w:val="0"/>
          <w:iCs w:val="0"/>
          <w:highlight w:val="none"/>
          <w:lang w:val="en-US" w:eastAsia="zh-CN"/>
        </w:rPr>
        <w:br w:type="page"/>
      </w:r>
    </w:p>
    <w:p w14:paraId="7458B8E8">
      <w:pPr>
        <w:pStyle w:val="2"/>
        <w:bidi w:val="0"/>
        <w:rPr>
          <w:rFonts w:hint="eastAsia"/>
          <w:lang w:val="en-US" w:eastAsia="zh-CN"/>
        </w:rPr>
      </w:pPr>
      <w:bookmarkStart w:id="355" w:name="_Toc8791"/>
      <w:bookmarkStart w:id="356" w:name="_Toc24952"/>
      <w:bookmarkStart w:id="357" w:name="_Toc8853"/>
      <w:bookmarkStart w:id="358" w:name="_Toc3508"/>
      <w:bookmarkStart w:id="359" w:name="_Toc27151"/>
      <w:bookmarkStart w:id="360" w:name="_Toc2862"/>
      <w:bookmarkStart w:id="361" w:name="_Toc141"/>
      <w:r>
        <w:rPr>
          <w:rFonts w:hint="eastAsia"/>
          <w:lang w:val="en-US" w:eastAsia="zh-CN"/>
        </w:rPr>
        <w:t>预制加工</w:t>
      </w:r>
      <w:bookmarkEnd w:id="355"/>
      <w:bookmarkEnd w:id="356"/>
      <w:bookmarkEnd w:id="357"/>
      <w:bookmarkEnd w:id="358"/>
      <w:bookmarkEnd w:id="359"/>
      <w:bookmarkEnd w:id="360"/>
      <w:bookmarkEnd w:id="361"/>
    </w:p>
    <w:p w14:paraId="247D71E1">
      <w:pPr>
        <w:pStyle w:val="38"/>
        <w:rPr>
          <w:rFonts w:hint="default" w:eastAsia="宋体"/>
          <w:i w:val="0"/>
          <w:iCs w:val="0"/>
          <w:highlight w:val="none"/>
          <w:lang w:val="en-US" w:eastAsia="zh-CN"/>
        </w:rPr>
      </w:pPr>
      <w:r>
        <w:rPr>
          <w:rFonts w:hint="eastAsia"/>
          <w:b/>
          <w:bCs/>
          <w:i w:val="0"/>
          <w:iCs w:val="0"/>
          <w:highlight w:val="none"/>
          <w:lang w:val="en-US" w:eastAsia="zh-CN"/>
        </w:rPr>
        <w:t>7.0.2</w:t>
      </w:r>
      <w:r>
        <w:rPr>
          <w:rFonts w:hint="eastAsia"/>
          <w:i w:val="0"/>
          <w:iCs w:val="0"/>
          <w:highlight w:val="none"/>
          <w:lang w:val="en-US" w:eastAsia="zh-CN"/>
        </w:rPr>
        <w:t xml:space="preserve">  建立编码体系的目的是对模型进行标识，便于检索和管理。编码体系通常需要与设计方规定的核岛安装工程对象的编码体系一致，一般为KKS（德语Kraftwerk-Kennzeichen System的缩写，译为发电厂编码表示系统）编码或RDS-PP（英语Reference Designation System for Power Plant的缩写，译为发电厂参考标识系统）编码。此外，模型单元的编码还应与深化设计阶段规定的模型单元编码保持一致。</w:t>
      </w:r>
    </w:p>
    <w:p w14:paraId="1ED16A64">
      <w:pPr>
        <w:pStyle w:val="38"/>
        <w:rPr>
          <w:rFonts w:hint="default"/>
          <w:i w:val="0"/>
          <w:iCs w:val="0"/>
          <w:highlight w:val="none"/>
          <w:lang w:val="en-US" w:eastAsia="zh-CN"/>
        </w:rPr>
      </w:pPr>
      <w:r>
        <w:rPr>
          <w:rFonts w:hint="eastAsia"/>
          <w:b/>
          <w:bCs/>
          <w:i w:val="0"/>
          <w:iCs w:val="0"/>
          <w:highlight w:val="none"/>
          <w:lang w:val="en-US" w:eastAsia="zh-CN"/>
        </w:rPr>
        <w:t>7.0.4</w:t>
      </w:r>
      <w:r>
        <w:rPr>
          <w:rFonts w:hint="eastAsia"/>
          <w:i w:val="0"/>
          <w:iCs w:val="0"/>
          <w:highlight w:val="none"/>
          <w:lang w:val="en-US" w:eastAsia="zh-CN"/>
        </w:rPr>
        <w:t xml:space="preserve">  </w:t>
      </w:r>
      <w:r>
        <w:rPr>
          <w:rFonts w:hint="eastAsia"/>
          <w:i/>
          <w:iCs/>
          <w:highlight w:val="none"/>
          <w:lang w:val="en-US" w:eastAsia="zh-CN"/>
        </w:rPr>
        <w:t>在</w:t>
      </w:r>
      <w:r>
        <w:rPr>
          <w:rFonts w:hint="eastAsia"/>
          <w:i w:val="0"/>
          <w:iCs w:val="0"/>
          <w:highlight w:val="none"/>
          <w:lang w:val="en-US" w:eastAsia="zh-CN"/>
        </w:rPr>
        <w:t>核岛安装工程中，风管的传统预制加工流程是，工程技术人员根据施工图纸绘制每段风管的预制加工图（也称加工单），然后将加工单传递至预制车间，预制工人按照加工单所示尺寸进行下料、预制。加工单的绘制过程完全靠人工，工作量大、易出错。应用BIM后，利用模型生成风管预制加工图，尤其是不规则的特殊管件，能够大大提升预制加工图绘制的效率和准确性。</w:t>
      </w:r>
    </w:p>
    <w:p w14:paraId="3B98AA06">
      <w:pPr>
        <w:pStyle w:val="38"/>
        <w:rPr>
          <w:rFonts w:hint="default"/>
          <w:i w:val="0"/>
          <w:iCs w:val="0"/>
          <w:highlight w:val="none"/>
          <w:lang w:val="en-US" w:eastAsia="zh-CN"/>
        </w:rPr>
      </w:pPr>
      <w:r>
        <w:rPr>
          <w:rFonts w:hint="eastAsia"/>
          <w:b/>
          <w:bCs/>
          <w:i w:val="0"/>
          <w:iCs w:val="0"/>
          <w:highlight w:val="none"/>
          <w:lang w:val="en-US" w:eastAsia="zh-CN"/>
        </w:rPr>
        <w:t>7.0.5</w:t>
      </w:r>
      <w:r>
        <w:rPr>
          <w:rFonts w:hint="eastAsia"/>
          <w:i w:val="0"/>
          <w:iCs w:val="0"/>
          <w:highlight w:val="none"/>
          <w:lang w:val="en-US" w:eastAsia="zh-CN"/>
        </w:rPr>
        <w:t xml:space="preserve">  本条规定的支吊架包括管道、通风空调、电气、自动化控制仪表专业的支吊架。在核岛安装工程中，对标准支吊架一般没有详细图纸，预制加工时，各型钢尺寸需要按照支吊架图集或手册进行人工计算。应用BIM后，可以利用模型对没有详图的支吊架生成预制加工图，减少人工计算的过程，提高预制的效率和准确性。</w:t>
      </w:r>
    </w:p>
    <w:p w14:paraId="4105CD4F">
      <w:pPr>
        <w:pStyle w:val="38"/>
        <w:numPr>
          <w:ilvl w:val="0"/>
          <w:numId w:val="0"/>
        </w:numPr>
        <w:tabs>
          <w:tab w:val="left" w:pos="0"/>
        </w:tabs>
        <w:bidi w:val="0"/>
        <w:ind w:leftChars="0"/>
        <w:rPr>
          <w:rFonts w:hint="default"/>
          <w:i w:val="0"/>
          <w:iCs w:val="0"/>
          <w:highlight w:val="none"/>
          <w:lang w:val="en-US" w:eastAsia="zh-CN"/>
        </w:rPr>
      </w:pPr>
      <w:r>
        <w:rPr>
          <w:rFonts w:hint="eastAsia"/>
          <w:b/>
          <w:bCs/>
          <w:i w:val="0"/>
          <w:iCs w:val="0"/>
          <w:highlight w:val="none"/>
          <w:lang w:val="en-US" w:eastAsia="zh-CN"/>
        </w:rPr>
        <w:t>7.0.7</w:t>
      </w:r>
      <w:r>
        <w:rPr>
          <w:rFonts w:hint="eastAsia"/>
          <w:i w:val="0"/>
          <w:iCs w:val="0"/>
          <w:highlight w:val="none"/>
          <w:lang w:val="en-US" w:eastAsia="zh-CN"/>
        </w:rPr>
        <w:t xml:space="preserve">  核岛安装工程的保温（含保冷）包括风管保温、管道保温和设备保温。风管保温一般在施工现场直接对保温棉和保护层外壳进行下料安装，无需预制加工图。管道和设备的保温根据保护层外壳的形式不同，可分为永久性外壳、单壁盒、双臂盒，需要绘制预制加工图。在应用BIM前，永久性外壳、单壁盒、双臂盒的预制加工图，都是由施工技术人员通过现场测量需保温管道和设备的尺寸及周围安装空间的尺寸后绘制的，现场测量难度大、效率低、误差大、出错率高。应用BIM后，利用模型生成预制加工图，可以大大提升保温预制加工图绘制的效率和准确性，降低施工技术人员现场作业的风险。</w:t>
      </w:r>
    </w:p>
    <w:p w14:paraId="01D37408">
      <w:pPr>
        <w:pStyle w:val="38"/>
        <w:rPr>
          <w:rFonts w:hint="default" w:eastAsia="宋体"/>
          <w:i w:val="0"/>
          <w:iCs w:val="0"/>
          <w:highlight w:val="none"/>
          <w:lang w:val="en-US" w:eastAsia="zh-CN"/>
        </w:rPr>
      </w:pPr>
      <w:r>
        <w:rPr>
          <w:rFonts w:hint="eastAsia"/>
          <w:b/>
          <w:bCs/>
          <w:i w:val="0"/>
          <w:iCs w:val="0"/>
          <w:highlight w:val="none"/>
          <w:lang w:val="en-US" w:eastAsia="zh-CN"/>
        </w:rPr>
        <w:t>7.0.8</w:t>
      </w:r>
      <w:r>
        <w:rPr>
          <w:rFonts w:hint="eastAsia"/>
          <w:i w:val="0"/>
          <w:iCs w:val="0"/>
          <w:highlight w:val="none"/>
          <w:lang w:val="en-US" w:eastAsia="zh-CN"/>
        </w:rPr>
        <w:t xml:space="preserve">  使用数字化加工设备进行预制加工，将其与BIM软件联通进行数据交换，确保数字化加工设备能够从模型获取加工信息，省去生成预制加工图的过程，实现自动化、智能化的预制加工。</w:t>
      </w:r>
    </w:p>
    <w:p w14:paraId="2B8CE3A9">
      <w:pPr>
        <w:pStyle w:val="38"/>
        <w:rPr>
          <w:rFonts w:hint="default"/>
          <w:i w:val="0"/>
          <w:iCs w:val="0"/>
          <w:highlight w:val="none"/>
          <w:lang w:val="en-US" w:eastAsia="zh-CN"/>
        </w:rPr>
      </w:pPr>
      <w:r>
        <w:rPr>
          <w:rFonts w:hint="eastAsia"/>
          <w:b/>
          <w:bCs/>
          <w:i w:val="0"/>
          <w:iCs w:val="0"/>
          <w:highlight w:val="none"/>
          <w:lang w:val="en-US" w:eastAsia="zh-CN"/>
        </w:rPr>
        <w:t>7.0.10</w:t>
      </w:r>
      <w:r>
        <w:rPr>
          <w:rFonts w:hint="eastAsia"/>
          <w:i w:val="0"/>
          <w:iCs w:val="0"/>
          <w:highlight w:val="none"/>
          <w:lang w:val="en-US" w:eastAsia="zh-CN"/>
        </w:rPr>
        <w:t xml:space="preserve">  预制加工完成情况信息主要包括预制完成时间、预制者、检查者等信息，将这些信息附加到BIM平台中，能够更好的对预制加工完成情况进行进度跟踪。</w:t>
      </w:r>
    </w:p>
    <w:p w14:paraId="3CE43B0A">
      <w:pPr>
        <w:pStyle w:val="38"/>
        <w:numPr>
          <w:ilvl w:val="0"/>
          <w:numId w:val="0"/>
        </w:numPr>
        <w:tabs>
          <w:tab w:val="left" w:pos="0"/>
        </w:tabs>
        <w:bidi w:val="0"/>
        <w:ind w:leftChars="0"/>
        <w:rPr>
          <w:rFonts w:hint="eastAsia"/>
          <w:i w:val="0"/>
          <w:iCs w:val="0"/>
          <w:highlight w:val="none"/>
          <w:lang w:val="en-US" w:eastAsia="zh-CN"/>
        </w:rPr>
      </w:pPr>
    </w:p>
    <w:p w14:paraId="66C1C8C7">
      <w:pPr>
        <w:rPr>
          <w:rFonts w:hint="eastAsia"/>
          <w:i w:val="0"/>
          <w:iCs w:val="0"/>
          <w:highlight w:val="none"/>
          <w:lang w:val="en-US" w:eastAsia="zh-CN"/>
        </w:rPr>
      </w:pPr>
      <w:r>
        <w:rPr>
          <w:rFonts w:hint="eastAsia"/>
          <w:i w:val="0"/>
          <w:iCs w:val="0"/>
          <w:highlight w:val="none"/>
          <w:lang w:val="en-US" w:eastAsia="zh-CN"/>
        </w:rPr>
        <w:br w:type="page"/>
      </w:r>
    </w:p>
    <w:p w14:paraId="178FAB66">
      <w:pPr>
        <w:pStyle w:val="2"/>
        <w:bidi w:val="0"/>
        <w:rPr>
          <w:rFonts w:hint="eastAsia"/>
          <w:lang w:val="en-US" w:eastAsia="zh-CN"/>
        </w:rPr>
      </w:pPr>
      <w:bookmarkStart w:id="362" w:name="_Toc15527"/>
      <w:bookmarkStart w:id="363" w:name="_Toc31256"/>
      <w:bookmarkStart w:id="364" w:name="_Toc28774"/>
      <w:bookmarkStart w:id="365" w:name="_Toc32017"/>
      <w:bookmarkStart w:id="366" w:name="_Toc27264"/>
      <w:bookmarkStart w:id="367" w:name="_Toc26100"/>
      <w:bookmarkStart w:id="368" w:name="_Toc16268"/>
      <w:r>
        <w:rPr>
          <w:rFonts w:hint="eastAsia"/>
          <w:lang w:val="en-US" w:eastAsia="zh-CN"/>
        </w:rPr>
        <w:t>施工</w:t>
      </w:r>
      <w:bookmarkEnd w:id="362"/>
      <w:bookmarkEnd w:id="363"/>
      <w:bookmarkEnd w:id="364"/>
      <w:r>
        <w:rPr>
          <w:rFonts w:hint="eastAsia"/>
          <w:lang w:val="en-US" w:eastAsia="zh-CN"/>
        </w:rPr>
        <w:t>实施</w:t>
      </w:r>
      <w:bookmarkEnd w:id="365"/>
      <w:bookmarkEnd w:id="366"/>
      <w:bookmarkEnd w:id="367"/>
      <w:bookmarkEnd w:id="368"/>
    </w:p>
    <w:p w14:paraId="588B9C84">
      <w:pPr>
        <w:pStyle w:val="3"/>
        <w:bidi w:val="0"/>
        <w:rPr>
          <w:rFonts w:hint="eastAsia"/>
          <w:lang w:val="en-US" w:eastAsia="zh-CN"/>
        </w:rPr>
      </w:pPr>
      <w:bookmarkStart w:id="369" w:name="_Toc21365"/>
      <w:bookmarkStart w:id="370" w:name="_Toc18733"/>
      <w:bookmarkStart w:id="371" w:name="_Toc27735"/>
      <w:bookmarkStart w:id="372" w:name="_Toc32744"/>
      <w:r>
        <w:rPr>
          <w:rFonts w:hint="eastAsia"/>
          <w:lang w:val="en-US" w:eastAsia="zh-CN"/>
        </w:rPr>
        <w:t>一般规定</w:t>
      </w:r>
      <w:bookmarkEnd w:id="369"/>
      <w:bookmarkEnd w:id="370"/>
      <w:bookmarkEnd w:id="371"/>
      <w:bookmarkEnd w:id="372"/>
    </w:p>
    <w:p w14:paraId="5E94EFD4">
      <w:pPr>
        <w:pStyle w:val="38"/>
        <w:rPr>
          <w:rFonts w:hint="default"/>
          <w:i w:val="0"/>
          <w:iCs w:val="0"/>
          <w:highlight w:val="none"/>
          <w:lang w:val="en-US" w:eastAsia="zh-CN"/>
        </w:rPr>
      </w:pPr>
      <w:r>
        <w:rPr>
          <w:rFonts w:hint="eastAsia"/>
          <w:b/>
          <w:bCs/>
          <w:i w:val="0"/>
          <w:iCs w:val="0"/>
          <w:highlight w:val="none"/>
          <w:lang w:val="en-US" w:eastAsia="zh-CN"/>
        </w:rPr>
        <w:t>8.1.1、8.1.2</w:t>
      </w:r>
      <w:r>
        <w:rPr>
          <w:rFonts w:hint="eastAsia"/>
          <w:i w:val="0"/>
          <w:iCs w:val="0"/>
          <w:highlight w:val="none"/>
          <w:lang w:val="en-US" w:eastAsia="zh-CN"/>
        </w:rPr>
        <w:t xml:space="preserve">  施工实施阶段的各项施工活动，需要根据项目特点和合同要求应用BIM，目的是提升施工可视化程度，提高施工效率，保障施工质量和安全，实现项目施工的信息化、数字化、智能化。除进度、质量、安全管理之外，施工实施阶段BIM的各项施工应用详见本标准第8.2章节。</w:t>
      </w:r>
    </w:p>
    <w:p w14:paraId="14C936F9">
      <w:pPr>
        <w:pStyle w:val="38"/>
        <w:rPr>
          <w:rFonts w:hint="default" w:eastAsia="宋体"/>
          <w:i w:val="0"/>
          <w:iCs w:val="0"/>
          <w:highlight w:val="none"/>
          <w:lang w:val="en-US" w:eastAsia="zh-CN"/>
        </w:rPr>
      </w:pPr>
      <w:r>
        <w:rPr>
          <w:rFonts w:hint="eastAsia"/>
          <w:b/>
          <w:bCs/>
          <w:i w:val="0"/>
          <w:iCs w:val="0"/>
          <w:highlight w:val="none"/>
          <w:lang w:val="en-US" w:eastAsia="zh-CN"/>
        </w:rPr>
        <w:t>8.1.4</w:t>
      </w:r>
      <w:r>
        <w:rPr>
          <w:rFonts w:hint="eastAsia"/>
          <w:i w:val="0"/>
          <w:iCs w:val="0"/>
          <w:highlight w:val="none"/>
          <w:lang w:val="en-US" w:eastAsia="zh-CN"/>
        </w:rPr>
        <w:t xml:space="preserve">  其他施工相关资料及信息主要包括本标准第4.1.6条规定的图纸、系统、位置、安装者、安装时间、施工方式、施工逻辑关系等非几何信息。</w:t>
      </w:r>
    </w:p>
    <w:p w14:paraId="3C59127C">
      <w:pPr>
        <w:pStyle w:val="3"/>
        <w:bidi w:val="0"/>
        <w:rPr>
          <w:rFonts w:hint="eastAsia"/>
          <w:lang w:val="en-US" w:eastAsia="zh-CN"/>
        </w:rPr>
      </w:pPr>
      <w:bookmarkStart w:id="373" w:name="_Toc2214"/>
      <w:bookmarkStart w:id="374" w:name="_Toc24263"/>
      <w:bookmarkStart w:id="375" w:name="_Toc19576"/>
      <w:bookmarkStart w:id="376" w:name="_Toc28478"/>
      <w:r>
        <w:rPr>
          <w:rFonts w:hint="eastAsia"/>
          <w:lang w:val="en-US" w:eastAsia="zh-CN"/>
        </w:rPr>
        <w:t>施工应用</w:t>
      </w:r>
      <w:bookmarkEnd w:id="373"/>
      <w:bookmarkEnd w:id="374"/>
      <w:bookmarkEnd w:id="375"/>
      <w:bookmarkEnd w:id="376"/>
    </w:p>
    <w:p w14:paraId="0E1E1CFC">
      <w:pPr>
        <w:pStyle w:val="38"/>
        <w:rPr>
          <w:rFonts w:hint="default"/>
          <w:i/>
          <w:iCs/>
          <w:highlight w:val="none"/>
          <w:lang w:val="en-US" w:eastAsia="zh-CN"/>
        </w:rPr>
      </w:pPr>
      <w:r>
        <w:rPr>
          <w:rFonts w:hint="eastAsia"/>
          <w:b/>
          <w:bCs/>
          <w:i w:val="0"/>
          <w:iCs w:val="0"/>
          <w:highlight w:val="none"/>
          <w:lang w:val="en-US" w:eastAsia="zh-CN"/>
        </w:rPr>
        <w:t>8.2.1</w:t>
      </w:r>
      <w:r>
        <w:rPr>
          <w:rFonts w:hint="eastAsia"/>
          <w:i w:val="0"/>
          <w:iCs w:val="0"/>
          <w:highlight w:val="none"/>
          <w:lang w:val="en-US" w:eastAsia="zh-CN"/>
        </w:rPr>
        <w:t xml:space="preserve">  施工过程模型浏览包括几何信息浏览和非几何信息浏览，几何信息浏览需要BIM平台具备视图放大、缩小、旋转、移动、剖切、标记，以及模型的测量等功能；非几何信息浏览需要利用BIM平台查看施工模型对应的设计和施工信息。</w:t>
      </w:r>
    </w:p>
    <w:p w14:paraId="499DBD79">
      <w:pPr>
        <w:pStyle w:val="38"/>
        <w:rPr>
          <w:rFonts w:hint="default" w:eastAsia="宋体"/>
          <w:i w:val="0"/>
          <w:iCs w:val="0"/>
          <w:highlight w:val="none"/>
          <w:lang w:val="en-US" w:eastAsia="zh-CN"/>
        </w:rPr>
      </w:pPr>
      <w:r>
        <w:rPr>
          <w:rFonts w:hint="eastAsia"/>
          <w:b/>
          <w:bCs/>
          <w:i w:val="0"/>
          <w:iCs w:val="0"/>
          <w:highlight w:val="none"/>
          <w:lang w:val="en-US" w:eastAsia="zh-CN"/>
        </w:rPr>
        <w:t>8.2.2</w:t>
      </w:r>
      <w:r>
        <w:rPr>
          <w:rFonts w:hint="eastAsia"/>
          <w:i w:val="0"/>
          <w:iCs w:val="0"/>
          <w:highlight w:val="none"/>
          <w:lang w:val="en-US" w:eastAsia="zh-CN"/>
        </w:rPr>
        <w:t xml:space="preserve">  核岛安装工程通常以房间为单位拆分施工过程模型，并对每个房间对应的模型赋予一个二维码（快速响应矩阵码）。将该二维码张贴至施工现场对应位置，施工人员通过扫描该二维码即可查看房间内的施工过程模型。</w:t>
      </w:r>
    </w:p>
    <w:p w14:paraId="069871E5">
      <w:pPr>
        <w:pStyle w:val="38"/>
        <w:rPr>
          <w:rFonts w:hint="eastAsia"/>
          <w:i w:val="0"/>
          <w:iCs w:val="0"/>
          <w:highlight w:val="none"/>
          <w:lang w:val="en-US" w:eastAsia="zh-CN"/>
        </w:rPr>
      </w:pPr>
      <w:r>
        <w:rPr>
          <w:rFonts w:hint="eastAsia"/>
          <w:b/>
          <w:bCs/>
          <w:i w:val="0"/>
          <w:iCs w:val="0"/>
          <w:highlight w:val="none"/>
          <w:lang w:val="en-US" w:eastAsia="zh-CN"/>
        </w:rPr>
        <w:t>8.2.3、8.2.4</w:t>
      </w:r>
      <w:r>
        <w:rPr>
          <w:rFonts w:hint="eastAsia"/>
          <w:i w:val="0"/>
          <w:iCs w:val="0"/>
          <w:highlight w:val="none"/>
          <w:lang w:val="en-US" w:eastAsia="zh-CN"/>
        </w:rPr>
        <w:t xml:space="preserve">  核岛安装工程中，管道施工大多采用焊接连接，管道焊接工作量大。管道焊口管理占据了较大的管理任务，贯穿了整个安装过程。在焊接工作开展和焊接质量检查中，对于焊口位置的确认一直都较为耗时费力，需要专人对焊口位置进行查找确认。在施工现场对焊口位置查找过程中，位置高、物项遮挡、隐蔽等情况增加了焊口位置的确认难度。另外，焊接工作开展中，时常发生管道安装就位后发现无焊接作业空间，导致需要将管道移位再就位的情况，降低了工作效率。并且，在焊接管理中，无法直观统计所有焊口的完成状态，以及一些由于密封性、稳定性实验等需要保留的焊口，对焊口进度状态的整体把控效率有待进一步提升。</w:t>
      </w:r>
    </w:p>
    <w:p w14:paraId="3EDA3012">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eastAsia"/>
          <w:i w:val="0"/>
          <w:iCs w:val="0"/>
          <w:color w:val="auto"/>
          <w:highlight w:val="none"/>
          <w:lang w:val="en-US" w:eastAsia="zh-CN"/>
        </w:rPr>
        <w:t>基于上述原因，在核岛安装工程的施工实施阶段应用BIM后，可以考虑通过模型在BIM平台中开展管道焊口的可视化管理，包括焊口搜索与定位、显示管段和焊口标识、关联焊接控制单和图纸、显示焊口状态等。此外，在自动焊应用过程中，利用模型分析焊口周围空间是否能够满足自动焊机的操作空间要求，也能很大程度上提高自动焊应用的效率。</w:t>
      </w:r>
    </w:p>
    <w:p w14:paraId="6C36D39D">
      <w:pPr>
        <w:pStyle w:val="38"/>
        <w:rPr>
          <w:rFonts w:hint="default"/>
          <w:i w:val="0"/>
          <w:iCs w:val="0"/>
          <w:highlight w:val="none"/>
          <w:lang w:val="en-US" w:eastAsia="zh-CN"/>
        </w:rPr>
      </w:pPr>
      <w:r>
        <w:rPr>
          <w:rFonts w:hint="eastAsia"/>
          <w:b/>
          <w:bCs/>
          <w:i w:val="0"/>
          <w:iCs w:val="0"/>
          <w:highlight w:val="none"/>
          <w:lang w:val="en-US" w:eastAsia="zh-CN"/>
        </w:rPr>
        <w:t>8.2.5、8.2.6</w:t>
      </w:r>
      <w:r>
        <w:rPr>
          <w:rFonts w:hint="eastAsia"/>
          <w:i w:val="0"/>
          <w:iCs w:val="0"/>
          <w:highlight w:val="none"/>
          <w:lang w:val="en-US" w:eastAsia="zh-CN"/>
        </w:rPr>
        <w:t xml:space="preserve">  相较于二维图，直观的可视化是三维模型与生俱来的特点和优势。利用三维模型施工，能够使施工人员更容易的理解设计意图，避免施工错误的发生。实现三维模型施工的关键，是如何将二维图中的管线规格、尺寸、定位等信息在三维模型中显示。可以在BIM平台中开发相关的功能，实现将二维图中管线规格、尺寸、定位等信息在三维模型中标注显示。如图1所示，为某核电项目管道专业二维图和三维模型施工的对比效果。</w:t>
      </w:r>
    </w:p>
    <w:tbl>
      <w:tblPr>
        <w:tblStyle w:val="2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gridCol w:w="4261"/>
      </w:tblGrid>
      <w:tr w14:paraId="5CFC8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79AE9B22">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i w:val="0"/>
                <w:iCs w:val="0"/>
                <w:vertAlign w:val="baseline"/>
              </w:rPr>
            </w:pPr>
            <w:r>
              <w:rPr>
                <w:i w:val="0"/>
                <w:iCs w:val="0"/>
              </w:rPr>
              <w:drawing>
                <wp:inline distT="0" distB="0" distL="114300" distR="114300">
                  <wp:extent cx="2592070" cy="1409700"/>
                  <wp:effectExtent l="9525" t="9525" r="27305" b="952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7"/>
                          <a:stretch>
                            <a:fillRect/>
                          </a:stretch>
                        </pic:blipFill>
                        <pic:spPr>
                          <a:xfrm>
                            <a:off x="0" y="0"/>
                            <a:ext cx="2592070" cy="1409700"/>
                          </a:xfrm>
                          <a:prstGeom prst="rect">
                            <a:avLst/>
                          </a:prstGeom>
                          <a:noFill/>
                          <a:ln w="3175" cmpd="sng">
                            <a:solidFill>
                              <a:schemeClr val="tx1"/>
                            </a:solidFill>
                            <a:prstDash val="solid"/>
                          </a:ln>
                        </pic:spPr>
                      </pic:pic>
                    </a:graphicData>
                  </a:graphic>
                </wp:inline>
              </w:drawing>
            </w:r>
          </w:p>
        </w:tc>
        <w:tc>
          <w:tcPr>
            <w:tcW w:w="4261" w:type="dxa"/>
            <w:vAlign w:val="center"/>
          </w:tcPr>
          <w:p w14:paraId="6EEB297C">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i w:val="0"/>
                <w:iCs w:val="0"/>
                <w:vertAlign w:val="baseline"/>
              </w:rPr>
            </w:pPr>
            <w:r>
              <w:rPr>
                <w:i w:val="0"/>
                <w:iCs w:val="0"/>
              </w:rPr>
              <w:drawing>
                <wp:inline distT="0" distB="0" distL="114300" distR="114300">
                  <wp:extent cx="2592070" cy="1409700"/>
                  <wp:effectExtent l="9525" t="9525" r="27305" b="952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8"/>
                          <a:stretch>
                            <a:fillRect/>
                          </a:stretch>
                        </pic:blipFill>
                        <pic:spPr>
                          <a:xfrm>
                            <a:off x="0" y="0"/>
                            <a:ext cx="2592070" cy="1409700"/>
                          </a:xfrm>
                          <a:prstGeom prst="rect">
                            <a:avLst/>
                          </a:prstGeom>
                          <a:noFill/>
                          <a:ln w="3175" cmpd="sng">
                            <a:solidFill>
                              <a:schemeClr val="tx1"/>
                            </a:solidFill>
                            <a:prstDash val="solid"/>
                          </a:ln>
                        </pic:spPr>
                      </pic:pic>
                    </a:graphicData>
                  </a:graphic>
                </wp:inline>
              </w:drawing>
            </w:r>
          </w:p>
        </w:tc>
      </w:tr>
      <w:tr w14:paraId="1C1C9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1A568FA0">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i w:val="0"/>
                <w:iCs w:val="0"/>
                <w:vertAlign w:val="baseline"/>
              </w:rPr>
            </w:pPr>
            <w:r>
              <w:rPr>
                <w:rFonts w:hint="eastAsia"/>
                <w:b w:val="0"/>
                <w:bCs w:val="0"/>
                <w:i w:val="0"/>
                <w:iCs w:val="0"/>
                <w:sz w:val="21"/>
                <w:szCs w:val="21"/>
                <w:lang w:val="en-US" w:eastAsia="zh-CN"/>
              </w:rPr>
              <w:t>（a）  二维图</w:t>
            </w:r>
          </w:p>
        </w:tc>
        <w:tc>
          <w:tcPr>
            <w:tcW w:w="4261" w:type="dxa"/>
            <w:vAlign w:val="center"/>
          </w:tcPr>
          <w:p w14:paraId="767C418F">
            <w:pPr>
              <w:pStyle w:val="38"/>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i w:val="0"/>
                <w:iCs w:val="0"/>
                <w:vertAlign w:val="baseline"/>
              </w:rPr>
            </w:pPr>
            <w:r>
              <w:rPr>
                <w:rFonts w:hint="eastAsia"/>
                <w:b w:val="0"/>
                <w:bCs w:val="0"/>
                <w:i w:val="0"/>
                <w:iCs w:val="0"/>
                <w:sz w:val="21"/>
                <w:szCs w:val="21"/>
                <w:lang w:val="en-US" w:eastAsia="zh-CN"/>
              </w:rPr>
              <w:t>（b）  三维模型施工</w:t>
            </w:r>
          </w:p>
        </w:tc>
      </w:tr>
      <w:tr w14:paraId="1CCF7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gridSpan w:val="2"/>
            <w:vAlign w:val="center"/>
          </w:tcPr>
          <w:p w14:paraId="36406583">
            <w:pPr>
              <w:pStyle w:val="38"/>
              <w:keepNext w:val="0"/>
              <w:keepLines w:val="0"/>
              <w:pageBreakBefore w:val="0"/>
              <w:widowControl w:val="0"/>
              <w:kinsoku/>
              <w:wordWrap/>
              <w:overflowPunct/>
              <w:topLinePunct w:val="0"/>
              <w:autoSpaceDE/>
              <w:autoSpaceDN/>
              <w:bidi w:val="0"/>
              <w:adjustRightInd/>
              <w:snapToGrid/>
              <w:spacing w:after="157" w:afterLines="50"/>
              <w:ind w:left="0" w:leftChars="0" w:right="0" w:rightChars="0" w:firstLine="0" w:firstLineChars="0"/>
              <w:jc w:val="center"/>
              <w:textAlignment w:val="auto"/>
              <w:rPr>
                <w:rFonts w:hint="eastAsia"/>
                <w:b w:val="0"/>
                <w:bCs w:val="0"/>
                <w:i w:val="0"/>
                <w:iCs w:val="0"/>
                <w:sz w:val="21"/>
                <w:szCs w:val="21"/>
                <w:lang w:val="en-US" w:eastAsia="zh-CN"/>
              </w:rPr>
            </w:pPr>
            <w:r>
              <w:rPr>
                <w:rFonts w:hint="eastAsia"/>
                <w:b/>
                <w:bCs/>
                <w:i w:val="0"/>
                <w:iCs w:val="0"/>
                <w:sz w:val="21"/>
                <w:szCs w:val="21"/>
                <w:lang w:val="en-US" w:eastAsia="zh-CN"/>
              </w:rPr>
              <w:t>图1  管道二维图纸和三维模型施工对比</w:t>
            </w:r>
          </w:p>
        </w:tc>
      </w:tr>
    </w:tbl>
    <w:p w14:paraId="6E657273">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eastAsia"/>
          <w:i w:val="0"/>
          <w:iCs w:val="0"/>
          <w:color w:val="auto"/>
          <w:highlight w:val="none"/>
          <w:lang w:val="en-US" w:eastAsia="zh-CN"/>
        </w:rPr>
        <w:t>值得注意的是，三维模型施工不是完全替代二维图纸。二维图纸的优势在于，携带方便，以纸作为载体成本低；三维模型施工需要依赖计算机和软件系统，使用成本高。若要完全替代二维图纸，实现无纸化施工，还需解决项目成本问题。最重要的，三维模型施工须满足核电施工的质量保证要求。因此，现阶段的三维模型施工模式还主要以辅助施工为主。</w:t>
      </w:r>
    </w:p>
    <w:p w14:paraId="6F5C022D">
      <w:pPr>
        <w:pStyle w:val="38"/>
        <w:rPr>
          <w:rFonts w:hint="eastAsia"/>
          <w:i w:val="0"/>
          <w:iCs w:val="0"/>
          <w:highlight w:val="none"/>
          <w:lang w:val="en-US" w:eastAsia="zh-CN"/>
        </w:rPr>
      </w:pPr>
      <w:r>
        <w:rPr>
          <w:rFonts w:hint="eastAsia"/>
          <w:b/>
          <w:bCs/>
          <w:i w:val="0"/>
          <w:iCs w:val="0"/>
          <w:highlight w:val="none"/>
          <w:lang w:val="en-US" w:eastAsia="zh-CN"/>
        </w:rPr>
        <w:t>8.2.7</w:t>
      </w:r>
      <w:r>
        <w:rPr>
          <w:rFonts w:hint="eastAsia"/>
          <w:i w:val="0"/>
          <w:iCs w:val="0"/>
          <w:highlight w:val="none"/>
          <w:lang w:val="en-US" w:eastAsia="zh-CN"/>
        </w:rPr>
        <w:t xml:space="preserve">  虚拟现实技术包括VR（虚拟现实）、AR（增强现实）、MR（混合现实）。</w:t>
      </w:r>
    </w:p>
    <w:p w14:paraId="72AF060F">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i w:val="0"/>
          <w:iCs w:val="0"/>
          <w:highlight w:val="none"/>
          <w:lang w:val="en-US" w:eastAsia="zh-CN"/>
        </w:rPr>
      </w:pPr>
      <w:r>
        <w:rPr>
          <w:rFonts w:hint="eastAsia"/>
          <w:i w:val="0"/>
          <w:iCs w:val="0"/>
          <w:highlight w:val="none"/>
          <w:lang w:val="en-US" w:eastAsia="zh-CN"/>
        </w:rPr>
        <w:t>VR技术提供了一种可视化和实时交互的方式来规划、优化和协调施工过程，帮助工程团队在虚拟环境中模拟和预测施工活动，识别潜在的空间冲突和安全隐患等，优化施工流程，提高施工效率和安全性。核电安装施工曾多次利用VR技术辅助开展了设备引入路径的规划、施工逻辑顺序的排布、吊装工作吊点的设置等，有效提高了施工效率。教育培训方面，VR技术可以为施工人员在熟悉现场施工环境方面提供一定的帮助，尤其对于新员工，使其能够在虚拟环境中进行实践和模拟，提升施工技能和操作能力。</w:t>
      </w:r>
    </w:p>
    <w:p w14:paraId="37E065F1">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default"/>
          <w:i w:val="0"/>
          <w:iCs w:val="0"/>
          <w:color w:val="auto"/>
          <w:highlight w:val="none"/>
          <w:lang w:val="en-US" w:eastAsia="zh-CN"/>
        </w:rPr>
        <w:t>AR技术可以用于显示</w:t>
      </w:r>
      <w:r>
        <w:rPr>
          <w:rFonts w:hint="eastAsia"/>
          <w:i w:val="0"/>
          <w:iCs w:val="0"/>
          <w:color w:val="auto"/>
          <w:highlight w:val="none"/>
          <w:lang w:val="en-US" w:eastAsia="zh-CN"/>
        </w:rPr>
        <w:t>施工</w:t>
      </w:r>
      <w:r>
        <w:rPr>
          <w:rFonts w:hint="default"/>
          <w:i w:val="0"/>
          <w:iCs w:val="0"/>
          <w:color w:val="auto"/>
          <w:highlight w:val="none"/>
          <w:lang w:val="en-US" w:eastAsia="zh-CN"/>
        </w:rPr>
        <w:t>图纸、</w:t>
      </w:r>
      <w:r>
        <w:rPr>
          <w:rFonts w:hint="eastAsia"/>
          <w:i w:val="0"/>
          <w:iCs w:val="0"/>
          <w:color w:val="auto"/>
          <w:highlight w:val="none"/>
          <w:lang w:val="en-US" w:eastAsia="zh-CN"/>
        </w:rPr>
        <w:t>施工</w:t>
      </w:r>
      <w:r>
        <w:rPr>
          <w:rFonts w:hint="default"/>
          <w:i w:val="0"/>
          <w:iCs w:val="0"/>
          <w:color w:val="auto"/>
          <w:highlight w:val="none"/>
          <w:lang w:val="en-US" w:eastAsia="zh-CN"/>
        </w:rPr>
        <w:t>模型和实时数据等，使</w:t>
      </w:r>
      <w:r>
        <w:rPr>
          <w:rFonts w:hint="eastAsia"/>
          <w:i w:val="0"/>
          <w:iCs w:val="0"/>
          <w:color w:val="auto"/>
          <w:highlight w:val="none"/>
          <w:lang w:val="en-US" w:eastAsia="zh-CN"/>
        </w:rPr>
        <w:t>施工</w:t>
      </w:r>
      <w:r>
        <w:rPr>
          <w:rFonts w:hint="default"/>
          <w:i w:val="0"/>
          <w:iCs w:val="0"/>
          <w:color w:val="auto"/>
          <w:highlight w:val="none"/>
          <w:lang w:val="en-US" w:eastAsia="zh-CN"/>
        </w:rPr>
        <w:t>人员能够直观地了解工作要求。AR技术还可应用于实时检测和识别设备或构件的状态，提供故障排除和维护提示，从而提高施工效率和质量。它还能用于培训场合，使受训人员能够通过与虚拟元素的交互来学习和模拟实际工作。</w:t>
      </w:r>
    </w:p>
    <w:p w14:paraId="20B145B6">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eastAsia"/>
          <w:i w:val="0"/>
          <w:iCs w:val="0"/>
          <w:color w:val="auto"/>
          <w:highlight w:val="none"/>
          <w:lang w:val="en-US" w:eastAsia="zh-CN"/>
        </w:rPr>
        <w:t>MR技术</w:t>
      </w:r>
      <w:r>
        <w:rPr>
          <w:rFonts w:hint="default"/>
          <w:i w:val="0"/>
          <w:iCs w:val="0"/>
          <w:color w:val="auto"/>
          <w:highlight w:val="none"/>
          <w:lang w:val="en-US" w:eastAsia="zh-CN"/>
        </w:rPr>
        <w:t>可以在施工现场中显示虚拟的</w:t>
      </w:r>
      <w:r>
        <w:rPr>
          <w:rFonts w:hint="eastAsia"/>
          <w:i w:val="0"/>
          <w:iCs w:val="0"/>
          <w:color w:val="auto"/>
          <w:highlight w:val="none"/>
          <w:lang w:val="en-US" w:eastAsia="zh-CN"/>
        </w:rPr>
        <w:t>施工</w:t>
      </w:r>
      <w:r>
        <w:rPr>
          <w:rFonts w:hint="default"/>
          <w:i w:val="0"/>
          <w:iCs w:val="0"/>
          <w:color w:val="auto"/>
          <w:highlight w:val="none"/>
          <w:lang w:val="en-US" w:eastAsia="zh-CN"/>
        </w:rPr>
        <w:t>模型、实时数据和操作指示，使</w:t>
      </w:r>
      <w:r>
        <w:rPr>
          <w:rFonts w:hint="eastAsia"/>
          <w:i w:val="0"/>
          <w:iCs w:val="0"/>
          <w:color w:val="auto"/>
          <w:highlight w:val="none"/>
          <w:lang w:val="en-US" w:eastAsia="zh-CN"/>
        </w:rPr>
        <w:t>施工</w:t>
      </w:r>
      <w:r>
        <w:rPr>
          <w:rFonts w:hint="default"/>
          <w:i w:val="0"/>
          <w:iCs w:val="0"/>
          <w:color w:val="auto"/>
          <w:highlight w:val="none"/>
          <w:lang w:val="en-US" w:eastAsia="zh-CN"/>
        </w:rPr>
        <w:t>人员能够更准确地定位和布置</w:t>
      </w:r>
      <w:r>
        <w:rPr>
          <w:rFonts w:hint="eastAsia"/>
          <w:i w:val="0"/>
          <w:iCs w:val="0"/>
          <w:color w:val="auto"/>
          <w:highlight w:val="none"/>
          <w:lang w:val="en-US" w:eastAsia="zh-CN"/>
        </w:rPr>
        <w:t>工程对象</w:t>
      </w:r>
      <w:r>
        <w:rPr>
          <w:rFonts w:hint="default"/>
          <w:i w:val="0"/>
          <w:iCs w:val="0"/>
          <w:color w:val="auto"/>
          <w:highlight w:val="none"/>
          <w:lang w:val="en-US" w:eastAsia="zh-CN"/>
        </w:rPr>
        <w:t>，检查施工进度，并进行实时的质量控制</w:t>
      </w:r>
      <w:r>
        <w:rPr>
          <w:rFonts w:hint="eastAsia"/>
          <w:i w:val="0"/>
          <w:iCs w:val="0"/>
          <w:color w:val="auto"/>
          <w:highlight w:val="none"/>
          <w:lang w:val="en-US" w:eastAsia="zh-CN"/>
        </w:rPr>
        <w:t>。</w:t>
      </w:r>
      <w:r>
        <w:rPr>
          <w:rFonts w:hint="default"/>
          <w:i w:val="0"/>
          <w:iCs w:val="0"/>
          <w:color w:val="auto"/>
          <w:highlight w:val="none"/>
          <w:lang w:val="en-US" w:eastAsia="zh-CN"/>
        </w:rPr>
        <w:t>它还能用于协作和沟通，不同团队成员可以通过共享虚拟元素来协同工作和解决问题。</w:t>
      </w:r>
    </w:p>
    <w:p w14:paraId="5F2A7632">
      <w:pPr>
        <w:pStyle w:val="38"/>
        <w:rPr>
          <w:rFonts w:hint="default"/>
          <w:i w:val="0"/>
          <w:iCs w:val="0"/>
          <w:highlight w:val="none"/>
          <w:lang w:val="en-US" w:eastAsia="zh-CN"/>
        </w:rPr>
      </w:pPr>
      <w:r>
        <w:rPr>
          <w:rFonts w:hint="eastAsia"/>
          <w:b/>
          <w:bCs/>
          <w:i w:val="0"/>
          <w:iCs w:val="0"/>
          <w:highlight w:val="none"/>
          <w:lang w:val="en-US" w:eastAsia="zh-CN"/>
        </w:rPr>
        <w:t>8.2.8</w:t>
      </w:r>
      <w:r>
        <w:rPr>
          <w:rFonts w:hint="eastAsia"/>
          <w:i w:val="0"/>
          <w:iCs w:val="0"/>
          <w:highlight w:val="none"/>
          <w:lang w:val="en-US" w:eastAsia="zh-CN"/>
        </w:rPr>
        <w:t xml:space="preserve">  三维激光扫描技术是利用激光扫描仪发射激光束至物体表面，并测量激光束与物体表面的反射时间，从而计算出每个点的空间坐标形成点云数据，通过扫描物体的不同角度和位置，可以获取大量的点云数据，这些数据可以精确地描述物体的形状、几何结构和细节，用于建模、测量、检测和分析等。</w:t>
      </w:r>
    </w:p>
    <w:p w14:paraId="6B698870">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eastAsia"/>
          <w:i w:val="0"/>
          <w:iCs w:val="0"/>
          <w:color w:val="auto"/>
          <w:highlight w:val="none"/>
          <w:lang w:val="en-US" w:eastAsia="zh-CN"/>
        </w:rPr>
        <w:t>三维</w:t>
      </w:r>
      <w:r>
        <w:rPr>
          <w:rFonts w:hint="default"/>
          <w:i w:val="0"/>
          <w:iCs w:val="0"/>
          <w:color w:val="auto"/>
          <w:highlight w:val="none"/>
          <w:lang w:val="en-US" w:eastAsia="zh-CN"/>
        </w:rPr>
        <w:t>激光扫描技术在</w:t>
      </w:r>
      <w:r>
        <w:rPr>
          <w:rFonts w:hint="eastAsia"/>
          <w:i w:val="0"/>
          <w:iCs w:val="0"/>
          <w:color w:val="auto"/>
          <w:highlight w:val="none"/>
          <w:lang w:val="en-US" w:eastAsia="zh-CN"/>
        </w:rPr>
        <w:t>核岛</w:t>
      </w:r>
      <w:r>
        <w:rPr>
          <w:rFonts w:hint="default"/>
          <w:i w:val="0"/>
          <w:iCs w:val="0"/>
          <w:color w:val="auto"/>
          <w:highlight w:val="none"/>
          <w:lang w:val="en-US" w:eastAsia="zh-CN"/>
        </w:rPr>
        <w:t>安装施工中可以有多种用途。首先，通过</w:t>
      </w:r>
      <w:r>
        <w:rPr>
          <w:rFonts w:hint="eastAsia"/>
          <w:i w:val="0"/>
          <w:iCs w:val="0"/>
          <w:color w:val="auto"/>
          <w:highlight w:val="none"/>
          <w:lang w:val="en-US" w:eastAsia="zh-CN"/>
        </w:rPr>
        <w:t>三维</w:t>
      </w:r>
      <w:r>
        <w:rPr>
          <w:rFonts w:hint="default"/>
          <w:i w:val="0"/>
          <w:iCs w:val="0"/>
          <w:color w:val="auto"/>
          <w:highlight w:val="none"/>
          <w:lang w:val="en-US" w:eastAsia="zh-CN"/>
        </w:rPr>
        <w:t>激光扫描技术可以获取准确的现场数据，包括各专业的三维点云</w:t>
      </w:r>
      <w:r>
        <w:rPr>
          <w:rFonts w:hint="eastAsia"/>
          <w:i w:val="0"/>
          <w:iCs w:val="0"/>
          <w:color w:val="auto"/>
          <w:highlight w:val="none"/>
          <w:lang w:val="en-US" w:eastAsia="zh-CN"/>
        </w:rPr>
        <w:t>数据</w:t>
      </w:r>
      <w:r>
        <w:rPr>
          <w:rFonts w:hint="default"/>
          <w:i w:val="0"/>
          <w:iCs w:val="0"/>
          <w:color w:val="auto"/>
          <w:highlight w:val="none"/>
          <w:lang w:val="en-US" w:eastAsia="zh-CN"/>
        </w:rPr>
        <w:t>，这为工程团队提供了准确的</w:t>
      </w:r>
      <w:r>
        <w:rPr>
          <w:rFonts w:hint="eastAsia"/>
          <w:i w:val="0"/>
          <w:iCs w:val="0"/>
          <w:color w:val="auto"/>
          <w:highlight w:val="none"/>
          <w:lang w:val="en-US" w:eastAsia="zh-CN"/>
        </w:rPr>
        <w:t>可</w:t>
      </w:r>
      <w:r>
        <w:rPr>
          <w:rFonts w:hint="default"/>
          <w:i w:val="0"/>
          <w:iCs w:val="0"/>
          <w:color w:val="auto"/>
          <w:highlight w:val="none"/>
          <w:lang w:val="en-US" w:eastAsia="zh-CN"/>
        </w:rPr>
        <w:t>参考</w:t>
      </w:r>
      <w:r>
        <w:rPr>
          <w:rFonts w:hint="eastAsia"/>
          <w:i w:val="0"/>
          <w:iCs w:val="0"/>
          <w:color w:val="auto"/>
          <w:highlight w:val="none"/>
          <w:lang w:val="en-US" w:eastAsia="zh-CN"/>
        </w:rPr>
        <w:t>的</w:t>
      </w:r>
      <w:r>
        <w:rPr>
          <w:rFonts w:hint="default"/>
          <w:i w:val="0"/>
          <w:iCs w:val="0"/>
          <w:color w:val="auto"/>
          <w:highlight w:val="none"/>
          <w:lang w:val="en-US" w:eastAsia="zh-CN"/>
        </w:rPr>
        <w:t>基础数据。其次，通过将点云数据与安装设计模型进行对比，可以进行施工偏差分析，及早发现并解决施工过程中的问题。再次，</w:t>
      </w:r>
      <w:r>
        <w:rPr>
          <w:rFonts w:hint="eastAsia"/>
          <w:i w:val="0"/>
          <w:iCs w:val="0"/>
          <w:color w:val="auto"/>
          <w:highlight w:val="none"/>
          <w:lang w:val="en-US" w:eastAsia="zh-CN"/>
        </w:rPr>
        <w:t>三维</w:t>
      </w:r>
      <w:r>
        <w:rPr>
          <w:rFonts w:hint="default"/>
          <w:i w:val="0"/>
          <w:iCs w:val="0"/>
          <w:color w:val="auto"/>
          <w:highlight w:val="none"/>
          <w:lang w:val="en-US" w:eastAsia="zh-CN"/>
        </w:rPr>
        <w:t>激光扫描技术可用于安装成果的验收，验证安装成果的准确性和符合性，保证</w:t>
      </w:r>
      <w:r>
        <w:rPr>
          <w:rFonts w:hint="eastAsia"/>
          <w:i w:val="0"/>
          <w:iCs w:val="0"/>
          <w:color w:val="auto"/>
          <w:highlight w:val="none"/>
          <w:lang w:val="en-US" w:eastAsia="zh-CN"/>
        </w:rPr>
        <w:t>核岛</w:t>
      </w:r>
      <w:r>
        <w:rPr>
          <w:rFonts w:hint="default"/>
          <w:i w:val="0"/>
          <w:iCs w:val="0"/>
          <w:color w:val="auto"/>
          <w:highlight w:val="none"/>
          <w:lang w:val="en-US" w:eastAsia="zh-CN"/>
        </w:rPr>
        <w:t>安装施工的质量。</w:t>
      </w:r>
    </w:p>
    <w:p w14:paraId="20BB59C8">
      <w:pPr>
        <w:pStyle w:val="38"/>
        <w:rPr>
          <w:rFonts w:hint="default" w:eastAsia="宋体"/>
          <w:i/>
          <w:iCs/>
          <w:highlight w:val="none"/>
          <w:lang w:val="en-US" w:eastAsia="zh-CN"/>
        </w:rPr>
      </w:pPr>
      <w:r>
        <w:rPr>
          <w:rFonts w:hint="eastAsia"/>
          <w:b/>
          <w:bCs/>
          <w:i w:val="0"/>
          <w:iCs w:val="0"/>
          <w:highlight w:val="none"/>
          <w:lang w:val="en-US" w:eastAsia="zh-CN"/>
        </w:rPr>
        <w:t>8.2.9</w:t>
      </w:r>
      <w:r>
        <w:rPr>
          <w:rFonts w:hint="eastAsia"/>
          <w:i w:val="0"/>
          <w:iCs w:val="0"/>
          <w:highlight w:val="none"/>
          <w:lang w:val="en-US" w:eastAsia="zh-CN"/>
        </w:rPr>
        <w:t xml:space="preserve">  核岛安装工程中管道系统的密封性、功能性试验，简称“TFD”，是法语Tuyauterie Essai Fonctionnel de Dispositifs或英语Tightness Functional Demonstration的缩写。在TFD实施过程中应用BIM，创建每个试验回路的TFD模型，实现TFD可视化，能够帮助试验人员直观快速地识别出试验点和试验边界，并通过模型中附加或关联的试验压力、试验步骤等试验相关资料及信息完成管道系统的密封性、功能性试验。</w:t>
      </w:r>
    </w:p>
    <w:p w14:paraId="350C8107">
      <w:pPr>
        <w:pStyle w:val="3"/>
        <w:bidi w:val="0"/>
        <w:rPr>
          <w:rFonts w:hint="eastAsia"/>
          <w:lang w:val="en-US" w:eastAsia="zh-CN"/>
        </w:rPr>
      </w:pPr>
      <w:bookmarkStart w:id="377" w:name="_Toc32034"/>
      <w:bookmarkStart w:id="378" w:name="_Toc19046"/>
      <w:bookmarkStart w:id="379" w:name="_Toc29533"/>
      <w:bookmarkStart w:id="380" w:name="_Toc25291"/>
      <w:r>
        <w:rPr>
          <w:rFonts w:hint="eastAsia"/>
          <w:lang w:val="en-US" w:eastAsia="zh-CN"/>
        </w:rPr>
        <w:t>进度管理</w:t>
      </w:r>
      <w:bookmarkEnd w:id="377"/>
      <w:bookmarkEnd w:id="378"/>
      <w:bookmarkEnd w:id="379"/>
      <w:bookmarkEnd w:id="380"/>
    </w:p>
    <w:p w14:paraId="7B4A1D84">
      <w:pPr>
        <w:pStyle w:val="38"/>
        <w:rPr>
          <w:rFonts w:hint="eastAsia"/>
          <w:i/>
          <w:iCs/>
          <w:highlight w:val="none"/>
          <w:lang w:val="en-US" w:eastAsia="zh-CN"/>
        </w:rPr>
      </w:pPr>
      <w:r>
        <w:rPr>
          <w:rFonts w:hint="eastAsia"/>
          <w:b/>
          <w:bCs/>
          <w:i w:val="0"/>
          <w:iCs w:val="0"/>
          <w:highlight w:val="none"/>
          <w:lang w:val="en-US" w:eastAsia="zh-CN"/>
        </w:rPr>
        <w:t>8.3.3~8.3.5</w:t>
      </w:r>
      <w:r>
        <w:rPr>
          <w:rFonts w:hint="eastAsia"/>
          <w:i w:val="0"/>
          <w:iCs w:val="0"/>
          <w:highlight w:val="none"/>
          <w:lang w:val="en-US" w:eastAsia="zh-CN"/>
        </w:rPr>
        <w:t xml:space="preserve">  BIM技术中的“4D”指的是在三维模型基础上附加或关联时间信息，而进度管理模型就是BIM的4D模型。项目进度管理中的时间信息主要指计划进度和实际进度。计划进度包含最早开始时间、最迟开始时间、计划开始时间、最早完成时间、最迟完成时间、计划完成时间；实际进度包含实际开始时间、实际完成时间。本条中的定额指的是国家、行业的标准定额，也可以是企业定额或特定项目的专有施工资源数据。资源配置信息包括人工、材料、机械等。</w:t>
      </w:r>
    </w:p>
    <w:p w14:paraId="69D5678A">
      <w:pPr>
        <w:pStyle w:val="38"/>
        <w:rPr>
          <w:rFonts w:hint="default" w:eastAsia="宋体"/>
          <w:i w:val="0"/>
          <w:iCs w:val="0"/>
          <w:highlight w:val="none"/>
          <w:lang w:val="en-US" w:eastAsia="zh-CN"/>
        </w:rPr>
      </w:pPr>
      <w:r>
        <w:rPr>
          <w:rFonts w:hint="eastAsia"/>
          <w:b/>
          <w:bCs/>
          <w:i w:val="0"/>
          <w:iCs w:val="0"/>
          <w:highlight w:val="none"/>
          <w:lang w:val="en-US" w:eastAsia="zh-CN"/>
        </w:rPr>
        <w:t>8.3.6</w:t>
      </w:r>
      <w:r>
        <w:rPr>
          <w:rFonts w:hint="eastAsia"/>
          <w:i w:val="0"/>
          <w:iCs w:val="0"/>
          <w:highlight w:val="none"/>
          <w:lang w:val="en-US" w:eastAsia="zh-CN"/>
        </w:rPr>
        <w:t xml:space="preserve">  将实际进度信息录入模型中，有助于项目管理人员查询跟踪施工进展，为进度控制提供切实有效的信息支持。实际进度信息录入模型可以利用BIM平台的移动端功能，安装活动开始时和结束后，施工人员通过手机、平板电脑等移动端设备在BIM平台中将实际开始时间、实际完成时间录入相关模型中。</w:t>
      </w:r>
    </w:p>
    <w:p w14:paraId="373E6A9F">
      <w:pPr>
        <w:pStyle w:val="38"/>
        <w:rPr>
          <w:rFonts w:hint="eastAsia"/>
          <w:i w:val="0"/>
          <w:iCs w:val="0"/>
          <w:highlight w:val="none"/>
          <w:lang w:val="en-US" w:eastAsia="zh-CN"/>
        </w:rPr>
      </w:pPr>
      <w:r>
        <w:rPr>
          <w:rFonts w:hint="eastAsia"/>
          <w:b/>
          <w:bCs/>
          <w:i w:val="0"/>
          <w:iCs w:val="0"/>
          <w:highlight w:val="none"/>
          <w:lang w:val="en-US" w:eastAsia="zh-CN"/>
        </w:rPr>
        <w:t>8.3.7、8.3.8</w:t>
      </w:r>
      <w:r>
        <w:rPr>
          <w:rFonts w:hint="eastAsia"/>
          <w:i w:val="0"/>
          <w:iCs w:val="0"/>
          <w:highlight w:val="none"/>
          <w:lang w:val="en-US" w:eastAsia="zh-CN"/>
        </w:rPr>
        <w:t xml:space="preserve">  核岛安装工程的进度计划分为一级进度计划、二级进度计划、三级进度计划、四级进度计划、五级进度计划、六级进度计划和专项进度计划。其中，一级和二级进度计划由发包商制定，主要包含项目最关键的、具有战略意义的里程碑节点，以及项目主要阶段、系统移交和重大接口的计划；三级、四级、五级、六级和专项进度计划是由安装承包商根据一级、二级进度计划制定的合同计划、3~6个月滚动计划、周计划、天计划和特定的计划。进度计划制定BIM应用时，除了需要结合工作分解结构、资源配置和施工逻辑外，更重要的是满足项目进度计划的要求。</w:t>
      </w:r>
    </w:p>
    <w:p w14:paraId="431588A7">
      <w:pPr>
        <w:pStyle w:val="3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i w:val="0"/>
          <w:iCs w:val="0"/>
          <w:color w:val="auto"/>
          <w:highlight w:val="none"/>
          <w:lang w:val="en-US" w:eastAsia="zh-CN"/>
        </w:rPr>
      </w:pPr>
      <w:r>
        <w:rPr>
          <w:rFonts w:hint="eastAsia"/>
          <w:i w:val="0"/>
          <w:iCs w:val="0"/>
          <w:color w:val="auto"/>
          <w:highlight w:val="none"/>
          <w:lang w:val="en-US" w:eastAsia="zh-CN"/>
        </w:rPr>
        <w:t>施工模型要与工作分解结构保持一致，模型精细度应达到指导施工的程度，并保持模型和施工流程具有对应性，使得模型与施工任务节点能一一关联。</w:t>
      </w:r>
    </w:p>
    <w:p w14:paraId="070A4FC6">
      <w:pPr>
        <w:pStyle w:val="3"/>
        <w:bidi w:val="0"/>
        <w:rPr>
          <w:rFonts w:hint="eastAsia"/>
          <w:lang w:val="en-US" w:eastAsia="zh-CN"/>
        </w:rPr>
      </w:pPr>
      <w:bookmarkStart w:id="381" w:name="_Toc12807"/>
      <w:bookmarkStart w:id="382" w:name="_Toc4570"/>
      <w:bookmarkStart w:id="383" w:name="_Toc3842"/>
      <w:bookmarkStart w:id="384" w:name="_Toc11226"/>
      <w:r>
        <w:rPr>
          <w:rFonts w:hint="eastAsia"/>
          <w:lang w:val="en-US" w:eastAsia="zh-CN"/>
        </w:rPr>
        <w:t>质量管理</w:t>
      </w:r>
      <w:bookmarkEnd w:id="381"/>
      <w:bookmarkEnd w:id="382"/>
      <w:bookmarkEnd w:id="383"/>
      <w:bookmarkEnd w:id="384"/>
    </w:p>
    <w:p w14:paraId="68A399C1">
      <w:pPr>
        <w:pStyle w:val="38"/>
        <w:rPr>
          <w:rFonts w:hint="default" w:eastAsia="宋体"/>
          <w:i/>
          <w:iCs/>
          <w:highlight w:val="none"/>
          <w:lang w:val="en-US" w:eastAsia="zh-CN"/>
        </w:rPr>
      </w:pPr>
      <w:r>
        <w:rPr>
          <w:rFonts w:hint="eastAsia"/>
          <w:b/>
          <w:bCs/>
          <w:i w:val="0"/>
          <w:iCs w:val="0"/>
          <w:highlight w:val="none"/>
          <w:lang w:val="en-US" w:eastAsia="zh-CN"/>
        </w:rPr>
        <w:t>8.4.3</w:t>
      </w:r>
      <w:r>
        <w:rPr>
          <w:rFonts w:hint="eastAsia"/>
          <w:i w:val="0"/>
          <w:iCs w:val="0"/>
          <w:highlight w:val="none"/>
          <w:lang w:val="en-US" w:eastAsia="zh-CN"/>
        </w:rPr>
        <w:t xml:space="preserve">  在BIM平台中发起质量管理流程的线上审批，如施工人员完成安装工作后发起的质量检查审批流程，可以减少线下纸质审批的过程，提升质量管理的数字化应用程度和工作效率。同时，质量管理流程与模型关联，也使审批者能够更直观的了解所要处理的质量管理工作。</w:t>
      </w:r>
    </w:p>
    <w:p w14:paraId="34FB4070">
      <w:pPr>
        <w:pStyle w:val="38"/>
        <w:rPr>
          <w:rFonts w:hint="default" w:eastAsia="宋体"/>
          <w:i w:val="0"/>
          <w:iCs w:val="0"/>
          <w:highlight w:val="none"/>
          <w:lang w:val="en-US" w:eastAsia="zh-CN"/>
        </w:rPr>
      </w:pPr>
      <w:r>
        <w:rPr>
          <w:rFonts w:hint="eastAsia"/>
          <w:b/>
          <w:bCs/>
          <w:i w:val="0"/>
          <w:iCs w:val="0"/>
          <w:highlight w:val="none"/>
          <w:lang w:val="en-US" w:eastAsia="zh-CN"/>
        </w:rPr>
        <w:t>8.4.4</w:t>
      </w:r>
      <w:r>
        <w:rPr>
          <w:rFonts w:hint="eastAsia"/>
          <w:i w:val="0"/>
          <w:iCs w:val="0"/>
          <w:highlight w:val="none"/>
          <w:lang w:val="en-US" w:eastAsia="zh-CN"/>
        </w:rPr>
        <w:t xml:space="preserve">  质量控制资料包括材料合格证、安装技术要求、技术规格书、标准图集、施工记录等；功能检验资料包括设备等的开箱检查记录等；质量检查记录包括各专业工程对象安装的质量检查时间、检查人员、质量问题，以及相应的施工质量计划、任务单、不符合项记录等。</w:t>
      </w:r>
    </w:p>
    <w:p w14:paraId="000EC848">
      <w:pPr>
        <w:pStyle w:val="38"/>
        <w:rPr>
          <w:rFonts w:hint="default" w:eastAsia="宋体"/>
          <w:i w:val="0"/>
          <w:iCs w:val="0"/>
          <w:highlight w:val="none"/>
          <w:lang w:val="en-US" w:eastAsia="zh-CN"/>
        </w:rPr>
      </w:pPr>
      <w:r>
        <w:rPr>
          <w:rFonts w:hint="eastAsia"/>
          <w:b/>
          <w:bCs/>
          <w:i w:val="0"/>
          <w:iCs w:val="0"/>
          <w:highlight w:val="none"/>
          <w:lang w:val="en-US" w:eastAsia="zh-CN"/>
        </w:rPr>
        <w:t>8.4.7</w:t>
      </w:r>
      <w:r>
        <w:rPr>
          <w:rFonts w:hint="eastAsia"/>
          <w:i w:val="0"/>
          <w:iCs w:val="0"/>
          <w:highlight w:val="none"/>
          <w:lang w:val="en-US" w:eastAsia="zh-CN"/>
        </w:rPr>
        <w:t xml:space="preserve">  利用质量管理模型能够更加直观的对质量信息和问题进行汇总和展示，帮助质量管理人员按照施工位置、专业、人员进行质量信息和问题的统计和分析，为质量管理持续改进提供参考和依据。</w:t>
      </w:r>
    </w:p>
    <w:p w14:paraId="5777B1C2">
      <w:pPr>
        <w:pStyle w:val="38"/>
        <w:rPr>
          <w:rFonts w:hint="default"/>
          <w:i w:val="0"/>
          <w:iCs w:val="0"/>
          <w:highlight w:val="none"/>
          <w:lang w:val="en-US" w:eastAsia="zh-CN"/>
        </w:rPr>
      </w:pPr>
      <w:r>
        <w:rPr>
          <w:rFonts w:hint="eastAsia"/>
          <w:b/>
          <w:bCs/>
          <w:i w:val="0"/>
          <w:iCs w:val="0"/>
          <w:highlight w:val="none"/>
          <w:lang w:val="en-US" w:eastAsia="zh-CN"/>
        </w:rPr>
        <w:t>8.4.8</w:t>
      </w:r>
      <w:r>
        <w:rPr>
          <w:rFonts w:hint="eastAsia"/>
          <w:i w:val="0"/>
          <w:iCs w:val="0"/>
          <w:highlight w:val="none"/>
          <w:lang w:val="en-US" w:eastAsia="zh-CN"/>
        </w:rPr>
        <w:t xml:space="preserve">  质量问题的处理方式一般包括返工、返修、让步接收、降级使用、拒收，质量问题处理时需要将采用的何种处理方式，以及如何进行的处理附加或关联到相关模型单元上。</w:t>
      </w:r>
    </w:p>
    <w:p w14:paraId="4394C3BE">
      <w:pPr>
        <w:pStyle w:val="3"/>
        <w:bidi w:val="0"/>
        <w:rPr>
          <w:rFonts w:hint="default"/>
          <w:lang w:val="en-US" w:eastAsia="zh-CN"/>
        </w:rPr>
      </w:pPr>
      <w:bookmarkStart w:id="385" w:name="_Toc17239"/>
      <w:bookmarkStart w:id="386" w:name="_Toc24799"/>
      <w:bookmarkStart w:id="387" w:name="_Toc12759"/>
      <w:bookmarkStart w:id="388" w:name="_Toc30772"/>
      <w:r>
        <w:rPr>
          <w:rFonts w:hint="eastAsia"/>
          <w:lang w:val="en-US" w:eastAsia="zh-CN"/>
        </w:rPr>
        <w:t>安全管理</w:t>
      </w:r>
      <w:bookmarkEnd w:id="385"/>
      <w:bookmarkEnd w:id="386"/>
      <w:bookmarkEnd w:id="387"/>
      <w:bookmarkEnd w:id="388"/>
    </w:p>
    <w:p w14:paraId="601D0119">
      <w:pPr>
        <w:pStyle w:val="38"/>
        <w:rPr>
          <w:rFonts w:hint="default" w:eastAsia="宋体"/>
          <w:i w:val="0"/>
          <w:iCs w:val="0"/>
          <w:highlight w:val="none"/>
          <w:lang w:val="en-US" w:eastAsia="zh-CN"/>
        </w:rPr>
      </w:pPr>
      <w:r>
        <w:rPr>
          <w:rFonts w:hint="eastAsia"/>
          <w:b/>
          <w:bCs/>
          <w:i w:val="0"/>
          <w:iCs w:val="0"/>
          <w:highlight w:val="none"/>
          <w:lang w:val="en-US" w:eastAsia="zh-CN"/>
        </w:rPr>
        <w:t>8.5.3</w:t>
      </w:r>
      <w:r>
        <w:rPr>
          <w:rFonts w:hint="eastAsia"/>
          <w:i w:val="0"/>
          <w:iCs w:val="0"/>
          <w:highlight w:val="none"/>
          <w:lang w:val="en-US" w:eastAsia="zh-CN"/>
        </w:rPr>
        <w:t xml:space="preserve">  核岛安装工程中，安全管理流程的线上审批主要包括动火、受限空间作业、探伤、边缘性施工、危险化学品临时贮存、吊装、孔洞开启、高处临边作业、试车、电气隔离、试压及其他高风险作业。在BIM平台中发起安全管理流程的线上审批，可以减少线下纸质审批的过程，提升安全管理的数字化应用程度和工作效率。同时，安全管理流程与模型关联，也使审批者能够更直观的了解所要处理的安全管理工作。</w:t>
      </w:r>
    </w:p>
    <w:p w14:paraId="265D213C">
      <w:pPr>
        <w:pStyle w:val="38"/>
        <w:rPr>
          <w:rFonts w:hint="eastAsia"/>
          <w:i w:val="0"/>
          <w:iCs w:val="0"/>
          <w:highlight w:val="none"/>
          <w:lang w:val="en-US" w:eastAsia="zh-CN"/>
        </w:rPr>
      </w:pPr>
      <w:r>
        <w:rPr>
          <w:rFonts w:hint="eastAsia"/>
          <w:b/>
          <w:bCs/>
          <w:i w:val="0"/>
          <w:iCs w:val="0"/>
          <w:highlight w:val="none"/>
          <w:lang w:val="en-US" w:eastAsia="zh-CN"/>
        </w:rPr>
        <w:t>8.5.4</w:t>
      </w:r>
      <w:r>
        <w:rPr>
          <w:rFonts w:hint="eastAsia"/>
          <w:i w:val="0"/>
          <w:iCs w:val="0"/>
          <w:highlight w:val="none"/>
          <w:lang w:val="en-US" w:eastAsia="zh-CN"/>
        </w:rPr>
        <w:t xml:space="preserve">  安全生产/防护设施信息主要包括脚手架、垂直运输设备、临边防护设施、洞口防护等的位置、几何尺寸等几何信息，以及规格型号、设备功率等非几何信息。安全检查信息主要包括安全生产责任、安全教育、专项施工方案及其论证情况、机械设备维护保养、安全技术交底等。风险源信息主要包括风险隐患信息、风险评价信息、风险对策信息等。事故信息主要包括事故调查报告及处理决定等。</w:t>
      </w:r>
    </w:p>
    <w:p w14:paraId="7649B239">
      <w:pPr>
        <w:pStyle w:val="38"/>
        <w:rPr>
          <w:rFonts w:hint="default" w:eastAsia="宋体"/>
          <w:i w:val="0"/>
          <w:iCs w:val="0"/>
          <w:highlight w:val="none"/>
          <w:lang w:val="en-US" w:eastAsia="zh-CN"/>
        </w:rPr>
      </w:pPr>
      <w:r>
        <w:rPr>
          <w:rFonts w:hint="eastAsia"/>
          <w:b/>
          <w:bCs/>
          <w:i w:val="0"/>
          <w:iCs w:val="0"/>
          <w:highlight w:val="none"/>
          <w:lang w:val="en-US" w:eastAsia="zh-CN"/>
        </w:rPr>
        <w:t>8.5.8</w:t>
      </w:r>
      <w:r>
        <w:rPr>
          <w:rFonts w:hint="eastAsia"/>
          <w:i w:val="0"/>
          <w:iCs w:val="0"/>
          <w:highlight w:val="none"/>
          <w:lang w:val="en-US" w:eastAsia="zh-CN"/>
        </w:rPr>
        <w:t xml:space="preserve">  利用安全管理模型能够更加直观的对安全信息和问题进行汇总和展示，帮助安全管理人员按照施工位置、专业、人员进行安全信息和问题的统计和分析，为安全管理持续改进提供参考和依据。</w:t>
      </w:r>
    </w:p>
    <w:p w14:paraId="44915A5B">
      <w:pPr>
        <w:pStyle w:val="38"/>
        <w:numPr>
          <w:ilvl w:val="0"/>
          <w:numId w:val="0"/>
        </w:numPr>
        <w:tabs>
          <w:tab w:val="left" w:pos="0"/>
        </w:tabs>
        <w:bidi w:val="0"/>
        <w:ind w:leftChars="0"/>
        <w:rPr>
          <w:rFonts w:hint="eastAsia"/>
          <w:i w:val="0"/>
          <w:iCs w:val="0"/>
          <w:highlight w:val="none"/>
          <w:lang w:val="en-US" w:eastAsia="zh-CN"/>
        </w:rPr>
      </w:pPr>
    </w:p>
    <w:p w14:paraId="74D104C3">
      <w:pPr>
        <w:rPr>
          <w:rFonts w:hint="eastAsia"/>
          <w:i w:val="0"/>
          <w:iCs w:val="0"/>
          <w:highlight w:val="none"/>
          <w:lang w:val="en-US" w:eastAsia="zh-CN"/>
        </w:rPr>
      </w:pPr>
      <w:r>
        <w:rPr>
          <w:rFonts w:hint="eastAsia"/>
          <w:i w:val="0"/>
          <w:iCs w:val="0"/>
          <w:highlight w:val="none"/>
          <w:lang w:val="en-US" w:eastAsia="zh-CN"/>
        </w:rPr>
        <w:br w:type="page"/>
      </w:r>
    </w:p>
    <w:p w14:paraId="50B02670">
      <w:pPr>
        <w:pStyle w:val="2"/>
        <w:bidi w:val="0"/>
        <w:rPr>
          <w:rFonts w:hint="eastAsia"/>
          <w:lang w:val="en-US" w:eastAsia="zh-CN"/>
        </w:rPr>
      </w:pPr>
      <w:bookmarkStart w:id="389" w:name="_Toc19848"/>
      <w:bookmarkStart w:id="390" w:name="_Toc17712"/>
      <w:bookmarkStart w:id="391" w:name="_Toc59"/>
      <w:bookmarkStart w:id="392" w:name="_Toc6900"/>
      <w:bookmarkStart w:id="393" w:name="_Toc17354"/>
      <w:bookmarkStart w:id="394" w:name="_Toc3630"/>
      <w:bookmarkStart w:id="395" w:name="_Toc11211"/>
      <w:r>
        <w:rPr>
          <w:rFonts w:hint="eastAsia"/>
          <w:lang w:val="en-US" w:eastAsia="zh-CN"/>
        </w:rPr>
        <w:t>竣工交付</w:t>
      </w:r>
      <w:bookmarkEnd w:id="389"/>
      <w:bookmarkEnd w:id="390"/>
      <w:bookmarkEnd w:id="391"/>
      <w:bookmarkEnd w:id="392"/>
      <w:bookmarkEnd w:id="393"/>
      <w:bookmarkEnd w:id="394"/>
      <w:bookmarkEnd w:id="395"/>
    </w:p>
    <w:p w14:paraId="29025246">
      <w:pPr>
        <w:pStyle w:val="3"/>
        <w:bidi w:val="0"/>
        <w:rPr>
          <w:rFonts w:hint="default"/>
          <w:lang w:val="en-US" w:eastAsia="zh-CN"/>
        </w:rPr>
      </w:pPr>
      <w:bookmarkStart w:id="396" w:name="_Toc22897"/>
      <w:bookmarkStart w:id="397" w:name="_Toc6637"/>
      <w:bookmarkStart w:id="398" w:name="_Toc28777"/>
      <w:bookmarkStart w:id="399" w:name="_Toc4029"/>
      <w:bookmarkStart w:id="400" w:name="_Toc5132"/>
      <w:bookmarkStart w:id="401" w:name="_Toc4623"/>
      <w:bookmarkStart w:id="402" w:name="_Toc31074"/>
      <w:r>
        <w:rPr>
          <w:rFonts w:hint="eastAsia"/>
          <w:lang w:val="en-US" w:eastAsia="zh-CN"/>
        </w:rPr>
        <w:t>一般规定</w:t>
      </w:r>
      <w:bookmarkEnd w:id="396"/>
      <w:bookmarkEnd w:id="397"/>
      <w:bookmarkEnd w:id="398"/>
      <w:bookmarkEnd w:id="399"/>
      <w:bookmarkEnd w:id="400"/>
      <w:bookmarkEnd w:id="401"/>
      <w:bookmarkEnd w:id="402"/>
    </w:p>
    <w:p w14:paraId="5FD9455A">
      <w:pPr>
        <w:pStyle w:val="38"/>
        <w:bidi w:val="0"/>
        <w:rPr>
          <w:rFonts w:hint="default"/>
          <w:i w:val="0"/>
          <w:iCs w:val="0"/>
          <w:highlight w:val="none"/>
          <w:lang w:val="en-US" w:eastAsia="zh-CN"/>
        </w:rPr>
      </w:pPr>
      <w:r>
        <w:rPr>
          <w:rFonts w:hint="eastAsia"/>
          <w:b/>
          <w:bCs/>
          <w:i w:val="0"/>
          <w:iCs w:val="0"/>
          <w:highlight w:val="none"/>
          <w:lang w:val="en-US" w:eastAsia="zh-CN"/>
        </w:rPr>
        <w:t>9.1.3</w:t>
      </w:r>
      <w:r>
        <w:rPr>
          <w:rFonts w:hint="eastAsia"/>
          <w:i w:val="0"/>
          <w:iCs w:val="0"/>
          <w:highlight w:val="none"/>
          <w:lang w:val="en-US" w:eastAsia="zh-CN"/>
        </w:rPr>
        <w:t xml:space="preserve">  完整性指竣工交付的模型和文档满足交付范围的要求，无缺项无冗余。一致性是指交付的模型和文档与交工资料对应的部分一致。交工资料指设计、采购和施工全过程需要交付的最终版资料，不包括中间信息。中间信息指为形成合同约定的最终交付物而产生的中间过程信息，如设计过程中的计算过程信息、中间版本文件等信息。准确性是指交付的模型和文档符合施工相关技术文件的要求。</w:t>
      </w:r>
    </w:p>
    <w:p w14:paraId="6DF48E44">
      <w:pPr>
        <w:pStyle w:val="3"/>
        <w:bidi w:val="0"/>
        <w:rPr>
          <w:rFonts w:hint="default"/>
          <w:lang w:val="en-US" w:eastAsia="zh-CN"/>
        </w:rPr>
      </w:pPr>
      <w:bookmarkStart w:id="403" w:name="_Toc25435"/>
      <w:bookmarkStart w:id="404" w:name="_Toc19234"/>
      <w:bookmarkStart w:id="405" w:name="_Toc3264"/>
      <w:bookmarkStart w:id="406" w:name="_Toc11028"/>
      <w:bookmarkStart w:id="407" w:name="_Toc24141"/>
      <w:bookmarkStart w:id="408" w:name="_Toc27229"/>
      <w:bookmarkStart w:id="409" w:name="_Toc30065"/>
      <w:r>
        <w:rPr>
          <w:rFonts w:hint="eastAsia"/>
          <w:lang w:val="en-US" w:eastAsia="zh-CN"/>
        </w:rPr>
        <w:t>竣工交付</w:t>
      </w:r>
      <w:bookmarkEnd w:id="403"/>
      <w:bookmarkEnd w:id="404"/>
      <w:bookmarkEnd w:id="405"/>
      <w:r>
        <w:rPr>
          <w:rFonts w:hint="eastAsia"/>
          <w:lang w:val="en-US" w:eastAsia="zh-CN"/>
        </w:rPr>
        <w:t>模型</w:t>
      </w:r>
      <w:bookmarkEnd w:id="406"/>
      <w:bookmarkEnd w:id="407"/>
      <w:bookmarkEnd w:id="408"/>
      <w:bookmarkEnd w:id="409"/>
    </w:p>
    <w:p w14:paraId="6E2BBD1E">
      <w:pPr>
        <w:pStyle w:val="38"/>
        <w:bidi w:val="0"/>
        <w:rPr>
          <w:rFonts w:hint="eastAsia"/>
          <w:i w:val="0"/>
          <w:iCs w:val="0"/>
          <w:highlight w:val="none"/>
          <w:lang w:val="en-US" w:eastAsia="zh-CN"/>
        </w:rPr>
      </w:pPr>
      <w:r>
        <w:rPr>
          <w:rFonts w:hint="eastAsia"/>
          <w:b/>
          <w:bCs/>
          <w:i w:val="0"/>
          <w:iCs w:val="0"/>
          <w:highlight w:val="none"/>
          <w:lang w:val="en-US" w:eastAsia="zh-CN"/>
        </w:rPr>
        <w:t>9.2.2</w:t>
      </w:r>
      <w:r>
        <w:rPr>
          <w:rFonts w:hint="eastAsia"/>
          <w:i w:val="0"/>
          <w:iCs w:val="0"/>
          <w:highlight w:val="none"/>
          <w:lang w:val="en-US" w:eastAsia="zh-CN"/>
        </w:rPr>
        <w:t xml:space="preserve">  竣工交付模型不应该使用建模软件创建的原生模型，应对模型进行轻量化处理，方便模型的存储与浏览。当接收方为建设单位时，模型主要用于后续的运维管理工作。当建设单位对项目无施工BIM要求，不要求进行竣工交付BIM应用时，开展施工BIM应用主要是施工单位为了提高施工效率、提升项目质量和安全、缩短建设工期的自发行为。此时，模型主要用于施工单位企业内部的存档，为后续类似项目的施工BIM提供参考资料。</w:t>
      </w:r>
    </w:p>
    <w:p w14:paraId="1D031C14">
      <w:pPr>
        <w:pStyle w:val="3"/>
        <w:bidi w:val="0"/>
        <w:rPr>
          <w:rFonts w:hint="default"/>
          <w:lang w:val="en-US" w:eastAsia="zh-CN"/>
        </w:rPr>
      </w:pPr>
      <w:bookmarkStart w:id="410" w:name="_Toc9303"/>
      <w:bookmarkStart w:id="411" w:name="_Toc11578"/>
      <w:bookmarkStart w:id="412" w:name="_Toc24243"/>
      <w:bookmarkStart w:id="413" w:name="_Toc31797"/>
      <w:bookmarkStart w:id="414" w:name="_Toc30728"/>
      <w:bookmarkStart w:id="415" w:name="_Toc6685"/>
      <w:bookmarkStart w:id="416" w:name="_Toc27079"/>
      <w:r>
        <w:rPr>
          <w:rFonts w:hint="eastAsia"/>
          <w:lang w:val="en-US" w:eastAsia="zh-CN"/>
        </w:rPr>
        <w:t>竣工交付</w:t>
      </w:r>
      <w:bookmarkEnd w:id="410"/>
      <w:bookmarkEnd w:id="411"/>
      <w:bookmarkEnd w:id="412"/>
      <w:r>
        <w:rPr>
          <w:rFonts w:hint="eastAsia"/>
          <w:lang w:val="en-US" w:eastAsia="zh-CN"/>
        </w:rPr>
        <w:t>文档</w:t>
      </w:r>
      <w:bookmarkEnd w:id="413"/>
      <w:bookmarkEnd w:id="414"/>
      <w:bookmarkEnd w:id="415"/>
      <w:bookmarkEnd w:id="416"/>
    </w:p>
    <w:p w14:paraId="6FD59FE7">
      <w:pPr>
        <w:pStyle w:val="38"/>
        <w:rPr>
          <w:rFonts w:hint="default" w:eastAsia="宋体"/>
          <w:i w:val="0"/>
          <w:iCs w:val="0"/>
          <w:lang w:val="en-US" w:eastAsia="zh-CN"/>
        </w:rPr>
      </w:pPr>
      <w:r>
        <w:rPr>
          <w:rFonts w:hint="eastAsia"/>
          <w:b/>
          <w:bCs/>
          <w:i w:val="0"/>
          <w:iCs w:val="0"/>
          <w:highlight w:val="none"/>
          <w:lang w:val="en-US" w:eastAsia="zh-CN"/>
        </w:rPr>
        <w:t>9.3.1</w:t>
      </w:r>
      <w:r>
        <w:rPr>
          <w:rFonts w:hint="eastAsia"/>
          <w:i w:val="0"/>
          <w:iCs w:val="0"/>
          <w:highlight w:val="none"/>
          <w:lang w:val="en-US" w:eastAsia="zh-CN"/>
        </w:rPr>
        <w:t xml:space="preserve">  </w:t>
      </w:r>
      <w:r>
        <w:rPr>
          <w:rFonts w:hint="eastAsia"/>
          <w:i w:val="0"/>
          <w:iCs w:val="0"/>
          <w:lang w:val="en-US" w:eastAsia="zh-CN"/>
        </w:rPr>
        <w:t>竣工交付文档一般包括</w:t>
      </w:r>
      <w:r>
        <w:rPr>
          <w:rFonts w:hint="eastAsia"/>
          <w:i w:val="0"/>
          <w:iCs w:val="0"/>
          <w:highlight w:val="none"/>
          <w:lang w:val="en-US" w:eastAsia="zh-CN"/>
        </w:rPr>
        <w:t>竣工图、工程量清单、安装技术要求、变更文件、施工组织设计文件、施工计划文件、施工方案文件、施工记录文件、质量管理文件、完工报告等。</w:t>
      </w:r>
    </w:p>
    <w:p w14:paraId="6FF38958">
      <w:pPr>
        <w:pStyle w:val="38"/>
        <w:numPr>
          <w:ilvl w:val="0"/>
          <w:numId w:val="0"/>
        </w:numPr>
        <w:tabs>
          <w:tab w:val="left" w:pos="0"/>
        </w:tabs>
        <w:bidi w:val="0"/>
        <w:ind w:leftChars="0"/>
        <w:rPr>
          <w:rFonts w:hint="eastAsia"/>
          <w:i w:val="0"/>
          <w:iCs w:val="0"/>
          <w:highlight w:val="none"/>
          <w:lang w:val="en-US" w:eastAsia="zh-CN"/>
        </w:rPr>
      </w:pPr>
    </w:p>
    <w:p w14:paraId="4CFDC5B6">
      <w:pPr>
        <w:rPr>
          <w:rFonts w:hint="eastAsia"/>
          <w:lang w:val="en-US" w:eastAsia="zh-CN"/>
        </w:rPr>
      </w:pPr>
      <w:r>
        <w:rPr>
          <w:rFonts w:hint="eastAsia"/>
          <w:lang w:val="en-US" w:eastAsia="zh-CN"/>
        </w:rPr>
        <w:br w:type="page"/>
      </w:r>
    </w:p>
    <w:p w14:paraId="5F160BB4">
      <w:pPr>
        <w:pStyle w:val="2"/>
        <w:numPr>
          <w:ilvl w:val="0"/>
          <w:numId w:val="0"/>
        </w:numPr>
        <w:bidi w:val="0"/>
        <w:ind w:left="0" w:leftChars="0" w:right="0" w:rightChars="0" w:firstLine="0" w:firstLineChars="0"/>
        <w:jc w:val="center"/>
        <w:rPr>
          <w:rFonts w:hint="eastAsia"/>
          <w:lang w:val="en-US" w:eastAsia="zh-CN"/>
        </w:rPr>
      </w:pPr>
      <w:bookmarkStart w:id="417" w:name="_Toc24096"/>
      <w:bookmarkStart w:id="418" w:name="_Toc5403"/>
      <w:bookmarkStart w:id="419" w:name="_Toc23596"/>
      <w:bookmarkStart w:id="420" w:name="_Toc22678"/>
      <w:bookmarkStart w:id="421" w:name="_Toc2293"/>
      <w:bookmarkStart w:id="422" w:name="_Toc15596"/>
      <w:bookmarkStart w:id="423" w:name="_Toc9033"/>
      <w:bookmarkStart w:id="424" w:name="_Toc20219"/>
      <w:bookmarkStart w:id="425" w:name="_Toc14957"/>
      <w:bookmarkStart w:id="426" w:name="_Toc5265"/>
      <w:bookmarkStart w:id="427" w:name="_Toc2101"/>
      <w:r>
        <w:rPr>
          <w:rFonts w:hint="eastAsia"/>
          <w:lang w:val="en-US" w:eastAsia="zh-CN"/>
        </w:rPr>
        <w:t>参考文献</w:t>
      </w:r>
      <w:bookmarkEnd w:id="417"/>
      <w:bookmarkEnd w:id="418"/>
      <w:bookmarkEnd w:id="419"/>
      <w:bookmarkEnd w:id="420"/>
      <w:bookmarkEnd w:id="421"/>
      <w:bookmarkEnd w:id="422"/>
      <w:bookmarkEnd w:id="423"/>
      <w:bookmarkEnd w:id="424"/>
      <w:bookmarkEnd w:id="425"/>
      <w:bookmarkEnd w:id="426"/>
      <w:bookmarkEnd w:id="427"/>
    </w:p>
    <w:p w14:paraId="03A7DCF0">
      <w:pPr>
        <w:pStyle w:val="38"/>
        <w:keepNext w:val="0"/>
        <w:keepLines w:val="0"/>
        <w:pageBreakBefore w:val="0"/>
        <w:widowControl w:val="0"/>
        <w:numPr>
          <w:ilvl w:val="0"/>
          <w:numId w:val="97"/>
        </w:numPr>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eastAsia"/>
          <w:lang w:val="en-US" w:eastAsia="zh-CN"/>
        </w:rPr>
        <w:t>中华人民共和国住房和城乡建设部</w:t>
      </w:r>
      <w:r>
        <w:rPr>
          <w:rFonts w:hint="eastAsia" w:ascii="宋体" w:hAnsi="宋体" w:eastAsia="宋体" w:cs="宋体"/>
          <w:lang w:val="en-US" w:eastAsia="zh-CN"/>
        </w:rPr>
        <w:t>.</w:t>
      </w:r>
      <w:r>
        <w:rPr>
          <w:rFonts w:hint="eastAsia"/>
          <w:lang w:val="en-US" w:eastAsia="zh-CN"/>
        </w:rPr>
        <w:t>建筑信息模型施工应用标准：GB/T 51235-2017[S]</w:t>
      </w:r>
      <w:r>
        <w:rPr>
          <w:rFonts w:hint="eastAsia" w:ascii="宋体" w:hAnsi="宋体" w:eastAsia="宋体" w:cs="宋体"/>
          <w:lang w:val="en-US" w:eastAsia="zh-CN"/>
        </w:rPr>
        <w:t>.</w:t>
      </w:r>
      <w:r>
        <w:rPr>
          <w:rFonts w:hint="eastAsia" w:ascii="宋体" w:hAnsi="宋体" w:cs="宋体"/>
          <w:lang w:val="en-US" w:eastAsia="zh-CN"/>
        </w:rPr>
        <w:t>北京：中国建筑工业出版</w:t>
      </w:r>
      <w:r>
        <w:rPr>
          <w:rFonts w:hint="eastAsia"/>
          <w:lang w:val="en-US" w:eastAsia="zh-CN"/>
        </w:rPr>
        <w:t>社，2017</w:t>
      </w:r>
      <w:r>
        <w:rPr>
          <w:rFonts w:hint="eastAsia" w:ascii="宋体" w:hAnsi="宋体" w:eastAsia="宋体" w:cs="宋体"/>
          <w:lang w:val="en-US" w:eastAsia="zh-CN"/>
        </w:rPr>
        <w:t>.</w:t>
      </w:r>
    </w:p>
    <w:p w14:paraId="43E14AAA">
      <w:pPr>
        <w:pStyle w:val="38"/>
        <w:keepNext w:val="0"/>
        <w:keepLines w:val="0"/>
        <w:pageBreakBefore w:val="0"/>
        <w:widowControl w:val="0"/>
        <w:numPr>
          <w:ilvl w:val="0"/>
          <w:numId w:val="97"/>
        </w:numPr>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default"/>
          <w:lang w:val="en-US" w:eastAsia="zh-CN"/>
        </w:rPr>
        <w:t>中华人民共和国住房和城乡建设部</w:t>
      </w:r>
      <w:r>
        <w:rPr>
          <w:rFonts w:hint="eastAsia" w:ascii="宋体" w:hAnsi="宋体" w:eastAsia="宋体" w:cs="宋体"/>
          <w:lang w:val="en-US" w:eastAsia="zh-CN"/>
        </w:rPr>
        <w:t>.</w:t>
      </w:r>
      <w:r>
        <w:rPr>
          <w:rFonts w:hint="eastAsia"/>
          <w:lang w:val="en-US" w:eastAsia="zh-CN"/>
        </w:rPr>
        <w:t>石油化工工程数字化交付标准：GB/T 51296-2018[S]</w:t>
      </w:r>
      <w:r>
        <w:rPr>
          <w:rFonts w:hint="eastAsia" w:ascii="宋体" w:hAnsi="宋体" w:eastAsia="宋体" w:cs="宋体"/>
          <w:lang w:val="en-US" w:eastAsia="zh-CN"/>
        </w:rPr>
        <w:t>.</w:t>
      </w:r>
      <w:r>
        <w:rPr>
          <w:rFonts w:hint="eastAsia" w:ascii="宋体" w:hAnsi="宋体" w:cs="宋体"/>
          <w:lang w:val="en-US" w:eastAsia="zh-CN"/>
        </w:rPr>
        <w:t>北京：中国计划出版</w:t>
      </w:r>
      <w:r>
        <w:rPr>
          <w:rFonts w:hint="eastAsia"/>
          <w:lang w:val="en-US" w:eastAsia="zh-CN"/>
        </w:rPr>
        <w:t>社，2018</w:t>
      </w:r>
      <w:r>
        <w:rPr>
          <w:rFonts w:hint="eastAsia" w:ascii="宋体" w:hAnsi="宋体" w:eastAsia="宋体" w:cs="宋体"/>
          <w:lang w:val="en-US" w:eastAsia="zh-CN"/>
        </w:rPr>
        <w:t>.</w:t>
      </w:r>
    </w:p>
    <w:p w14:paraId="5400EEE6">
      <w:pPr>
        <w:pStyle w:val="38"/>
        <w:keepNext w:val="0"/>
        <w:keepLines w:val="0"/>
        <w:pageBreakBefore w:val="0"/>
        <w:widowControl w:val="0"/>
        <w:numPr>
          <w:ilvl w:val="0"/>
          <w:numId w:val="97"/>
        </w:numPr>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eastAsia" w:ascii="宋体" w:hAnsi="宋体" w:cs="宋体"/>
          <w:lang w:val="en-US" w:eastAsia="zh-CN"/>
        </w:rPr>
        <w:t>黄锐锋.图解危险性较大的分布分项工程安全管理规定</w:t>
      </w:r>
      <w:r>
        <w:rPr>
          <w:rFonts w:hint="eastAsia"/>
          <w:lang w:val="en-US" w:eastAsia="zh-CN"/>
        </w:rPr>
        <w:t>[M]</w:t>
      </w:r>
      <w:r>
        <w:rPr>
          <w:rFonts w:hint="eastAsia" w:ascii="宋体" w:hAnsi="宋体" w:cs="宋体"/>
          <w:lang w:val="en-US" w:eastAsia="zh-CN"/>
        </w:rPr>
        <w:t>.北京：中国建筑工业出版社，</w:t>
      </w:r>
      <w:r>
        <w:rPr>
          <w:rFonts w:hint="default" w:ascii="Times New Roman" w:hAnsi="Times New Roman" w:cs="Times New Roman"/>
          <w:lang w:val="en-US" w:eastAsia="zh-CN"/>
        </w:rPr>
        <w:t>2018</w:t>
      </w:r>
      <w:r>
        <w:rPr>
          <w:rFonts w:hint="eastAsia" w:ascii="宋体" w:hAnsi="宋体" w:eastAsia="宋体" w:cs="宋体"/>
          <w:lang w:val="en-US" w:eastAsia="zh-CN"/>
        </w:rPr>
        <w:t>.</w:t>
      </w:r>
    </w:p>
    <w:p w14:paraId="47F5D39D">
      <w:pPr>
        <w:pStyle w:val="38"/>
        <w:keepNext w:val="0"/>
        <w:keepLines w:val="0"/>
        <w:pageBreakBefore w:val="0"/>
        <w:widowControl w:val="0"/>
        <w:numPr>
          <w:ilvl w:val="0"/>
          <w:numId w:val="97"/>
        </w:numPr>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default"/>
          <w:lang w:val="en-US" w:eastAsia="zh-CN"/>
        </w:rPr>
        <w:t>中华人民共和国住房和城乡建设部</w:t>
      </w:r>
      <w:r>
        <w:rPr>
          <w:rFonts w:hint="eastAsia" w:ascii="宋体" w:hAnsi="宋体" w:eastAsia="宋体" w:cs="宋体"/>
          <w:lang w:val="en-US" w:eastAsia="zh-CN"/>
        </w:rPr>
        <w:t>.</w:t>
      </w:r>
      <w:r>
        <w:rPr>
          <w:rFonts w:hint="default"/>
          <w:lang w:val="en-US" w:eastAsia="zh-CN"/>
        </w:rPr>
        <w:t>建筑信息模型</w:t>
      </w:r>
      <w:r>
        <w:rPr>
          <w:rFonts w:hint="eastAsia"/>
          <w:lang w:val="en-US" w:eastAsia="zh-CN"/>
        </w:rPr>
        <w:t>设计交付</w:t>
      </w:r>
      <w:r>
        <w:rPr>
          <w:rFonts w:hint="default"/>
          <w:lang w:val="en-US" w:eastAsia="zh-CN"/>
        </w:rPr>
        <w:t>标准：GB/T 51</w:t>
      </w:r>
      <w:r>
        <w:rPr>
          <w:rFonts w:hint="eastAsia"/>
          <w:lang w:val="en-US" w:eastAsia="zh-CN"/>
        </w:rPr>
        <w:t>301</w:t>
      </w:r>
      <w:r>
        <w:rPr>
          <w:rFonts w:hint="default"/>
          <w:lang w:val="en-US" w:eastAsia="zh-CN"/>
        </w:rPr>
        <w:t>-201</w:t>
      </w:r>
      <w:r>
        <w:rPr>
          <w:rFonts w:hint="eastAsia"/>
          <w:lang w:val="en-US" w:eastAsia="zh-CN"/>
        </w:rPr>
        <w:t>8</w:t>
      </w:r>
      <w:r>
        <w:rPr>
          <w:rFonts w:hint="default"/>
          <w:lang w:val="en-US" w:eastAsia="zh-CN"/>
        </w:rPr>
        <w:t>[S]</w:t>
      </w:r>
      <w:r>
        <w:rPr>
          <w:rFonts w:hint="eastAsia" w:ascii="宋体" w:hAnsi="宋体" w:eastAsia="宋体" w:cs="宋体"/>
          <w:lang w:val="en-US" w:eastAsia="zh-CN"/>
        </w:rPr>
        <w:t>.</w:t>
      </w:r>
      <w:r>
        <w:rPr>
          <w:rFonts w:hint="default"/>
          <w:lang w:val="en-US" w:eastAsia="zh-CN"/>
        </w:rPr>
        <w:t>北京：中国建筑工业出版社，201</w:t>
      </w:r>
      <w:r>
        <w:rPr>
          <w:rFonts w:hint="eastAsia"/>
          <w:lang w:val="en-US" w:eastAsia="zh-CN"/>
        </w:rPr>
        <w:t>9</w:t>
      </w:r>
      <w:r>
        <w:rPr>
          <w:rFonts w:hint="eastAsia" w:ascii="宋体" w:hAnsi="宋体" w:eastAsia="宋体" w:cs="宋体"/>
          <w:lang w:val="en-US" w:eastAsia="zh-CN"/>
        </w:rPr>
        <w:t>.</w:t>
      </w:r>
    </w:p>
    <w:p w14:paraId="2D38BACF">
      <w:pPr>
        <w:pStyle w:val="38"/>
        <w:keepNext w:val="0"/>
        <w:keepLines w:val="0"/>
        <w:pageBreakBefore w:val="0"/>
        <w:widowControl w:val="0"/>
        <w:numPr>
          <w:ilvl w:val="0"/>
          <w:numId w:val="97"/>
        </w:numPr>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eastAsia"/>
          <w:lang w:val="en-US" w:eastAsia="zh-CN"/>
        </w:rPr>
        <w:t>许可，高治军，何兵</w:t>
      </w:r>
      <w:r>
        <w:rPr>
          <w:rFonts w:hint="eastAsia" w:ascii="宋体" w:hAnsi="宋体" w:eastAsia="宋体" w:cs="宋体"/>
          <w:lang w:val="en-US" w:eastAsia="zh-CN"/>
        </w:rPr>
        <w:t>.</w:t>
      </w:r>
      <w:r>
        <w:rPr>
          <w:rFonts w:hint="eastAsia"/>
          <w:lang w:val="en-US" w:eastAsia="zh-CN"/>
        </w:rPr>
        <w:t>施工总承包方BIM技术应用[M]</w:t>
      </w:r>
      <w:r>
        <w:rPr>
          <w:rFonts w:hint="eastAsia" w:ascii="宋体" w:hAnsi="宋体" w:eastAsia="宋体" w:cs="宋体"/>
          <w:lang w:val="en-US" w:eastAsia="zh-CN"/>
        </w:rPr>
        <w:t>.</w:t>
      </w:r>
      <w:r>
        <w:rPr>
          <w:rFonts w:hint="eastAsia"/>
          <w:lang w:val="en-US" w:eastAsia="zh-CN"/>
        </w:rPr>
        <w:t>北京：中国电力出版社，2019</w:t>
      </w:r>
      <w:r>
        <w:rPr>
          <w:rFonts w:hint="eastAsia" w:ascii="宋体" w:hAnsi="宋体" w:eastAsia="宋体" w:cs="宋体"/>
          <w:lang w:val="en-US" w:eastAsia="zh-CN"/>
        </w:rPr>
        <w:t>.</w:t>
      </w:r>
    </w:p>
    <w:p w14:paraId="6C428394">
      <w:pPr>
        <w:pStyle w:val="38"/>
        <w:keepNext w:val="0"/>
        <w:keepLines w:val="0"/>
        <w:pageBreakBefore w:val="0"/>
        <w:widowControl w:val="0"/>
        <w:numPr>
          <w:ilvl w:val="0"/>
          <w:numId w:val="97"/>
        </w:numPr>
        <w:kinsoku/>
        <w:wordWrap/>
        <w:overflowPunct/>
        <w:topLinePunct w:val="0"/>
        <w:autoSpaceDE/>
        <w:autoSpaceDN/>
        <w:bidi w:val="0"/>
        <w:adjustRightInd/>
        <w:snapToGrid/>
        <w:ind w:left="0" w:leftChars="0" w:firstLine="0" w:firstLineChars="0"/>
        <w:textAlignment w:val="auto"/>
        <w:rPr>
          <w:rFonts w:hint="default"/>
          <w:lang w:val="en-US" w:eastAsia="zh-CN"/>
        </w:rPr>
      </w:pPr>
      <w:r>
        <w:rPr>
          <w:rFonts w:hint="eastAsia"/>
          <w:lang w:val="en-US" w:eastAsia="zh-CN"/>
        </w:rPr>
        <w:t>中国安装协会</w:t>
      </w:r>
      <w:r>
        <w:rPr>
          <w:rFonts w:hint="eastAsia" w:ascii="宋体" w:hAnsi="宋体" w:eastAsia="宋体" w:cs="宋体"/>
          <w:lang w:val="en-US" w:eastAsia="zh-CN"/>
        </w:rPr>
        <w:t>.</w:t>
      </w:r>
      <w:r>
        <w:rPr>
          <w:rFonts w:hint="eastAsia"/>
          <w:lang w:val="en-US" w:eastAsia="zh-CN"/>
        </w:rPr>
        <w:t>建筑机电施工图深化设计技术标准：T/CIAS-2-2020[S]</w:t>
      </w:r>
      <w:r>
        <w:rPr>
          <w:rFonts w:hint="eastAsia" w:ascii="宋体" w:hAnsi="宋体" w:eastAsia="宋体" w:cs="宋体"/>
          <w:lang w:val="en-US" w:eastAsia="zh-CN"/>
        </w:rPr>
        <w:t>.</w:t>
      </w:r>
      <w:r>
        <w:rPr>
          <w:rFonts w:hint="eastAsia" w:ascii="宋体" w:hAnsi="宋体" w:cs="宋体"/>
          <w:lang w:val="en-US" w:eastAsia="zh-CN"/>
        </w:rPr>
        <w:t>北京：中国建筑工业出版</w:t>
      </w:r>
      <w:r>
        <w:rPr>
          <w:rFonts w:hint="eastAsia"/>
          <w:lang w:val="en-US" w:eastAsia="zh-CN"/>
        </w:rPr>
        <w:t>社，2020</w:t>
      </w:r>
      <w:r>
        <w:rPr>
          <w:rFonts w:hint="eastAsia" w:ascii="宋体" w:hAnsi="宋体" w:eastAsia="宋体" w:cs="宋体"/>
          <w:lang w:val="en-US" w:eastAsia="zh-CN"/>
        </w:rPr>
        <w:t>.</w: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0"/>
    </wne:keymap>
    <wne:keymap wne:kcmPrimary="0432">
      <wne:acd wne:acdName="acd1"/>
    </wne:keymap>
  </wne:keymaps>
  <wne:acds>
    <wne:acd wne:argValue="AQAAAAEA" wne:acdName="acd0" wne:fciIndexBasedOn="0065"/>
    <wne:acd wne:argValue="AQAAAAIA" wne:acdName="acd1"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E7E01">
    <w:pPr>
      <w:pStyle w:val="18"/>
      <w:jc w:val="right"/>
    </w:pPr>
  </w:p>
  <w:p w14:paraId="5886941A">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A1289">
    <w:pPr>
      <w:pStyle w:val="18"/>
      <w:jc w:val="right"/>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6FACDD">
                          <w:pPr>
                            <w:pStyle w:val="18"/>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1</w:t>
                          </w:r>
                          <w:r>
                            <w:fldChar w:fldCharType="end"/>
                          </w:r>
                          <w:r>
                            <w:rPr>
                              <w:rFonts w:hint="eastAsia"/>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86FACDD">
                    <w:pPr>
                      <w:pStyle w:val="18"/>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1</w:t>
                    </w:r>
                    <w:r>
                      <w:fldChar w:fldCharType="end"/>
                    </w:r>
                    <w:r>
                      <w:rPr>
                        <w:rFonts w:hint="eastAsia"/>
                        <w:lang w:val="en-US"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27863"/>
    <w:multiLevelType w:val="singleLevel"/>
    <w:tmpl w:val="81B27863"/>
    <w:lvl w:ilvl="0" w:tentative="0">
      <w:start w:val="1"/>
      <w:numFmt w:val="decimal"/>
      <w:suff w:val="nothing"/>
      <w:lvlText w:val="%1．"/>
      <w:lvlJc w:val="left"/>
      <w:pPr>
        <w:ind w:left="0" w:firstLine="400"/>
      </w:pPr>
      <w:rPr>
        <w:rFonts w:hint="default"/>
      </w:rPr>
    </w:lvl>
  </w:abstractNum>
  <w:abstractNum w:abstractNumId="1">
    <w:nsid w:val="82C0EF46"/>
    <w:multiLevelType w:val="singleLevel"/>
    <w:tmpl w:val="82C0EF46"/>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2">
    <w:nsid w:val="8675D8B5"/>
    <w:multiLevelType w:val="singleLevel"/>
    <w:tmpl w:val="8675D8B5"/>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3">
    <w:nsid w:val="86821CEB"/>
    <w:multiLevelType w:val="singleLevel"/>
    <w:tmpl w:val="86821CEB"/>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4">
    <w:nsid w:val="8961D707"/>
    <w:multiLevelType w:val="singleLevel"/>
    <w:tmpl w:val="8961D707"/>
    <w:lvl w:ilvl="0" w:tentative="0">
      <w:start w:val="1"/>
      <w:numFmt w:val="decimal"/>
      <w:suff w:val="space"/>
      <w:lvlText w:val="6.3.%1 "/>
      <w:lvlJc w:val="left"/>
      <w:pPr>
        <w:tabs>
          <w:tab w:val="left" w:pos="0"/>
        </w:tabs>
        <w:ind w:left="0" w:firstLine="0"/>
      </w:pPr>
      <w:rPr>
        <w:rFonts w:hint="default" w:ascii="Times New Roman" w:hAnsi="Times New Roman" w:eastAsia="宋体" w:cs="宋体"/>
        <w:b/>
        <w:sz w:val="24"/>
        <w:szCs w:val="24"/>
      </w:rPr>
    </w:lvl>
  </w:abstractNum>
  <w:abstractNum w:abstractNumId="5">
    <w:nsid w:val="89D2CC80"/>
    <w:multiLevelType w:val="singleLevel"/>
    <w:tmpl w:val="89D2CC80"/>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6">
    <w:nsid w:val="89D4C3C7"/>
    <w:multiLevelType w:val="singleLevel"/>
    <w:tmpl w:val="89D4C3C7"/>
    <w:lvl w:ilvl="0" w:tentative="0">
      <w:start w:val="1"/>
      <w:numFmt w:val="decimal"/>
      <w:suff w:val="space"/>
      <w:lvlText w:val="%1) "/>
      <w:lvlJc w:val="left"/>
      <w:pPr>
        <w:tabs>
          <w:tab w:val="left" w:pos="0"/>
        </w:tabs>
        <w:ind w:left="454" w:leftChars="0" w:hanging="454" w:firstLineChars="0"/>
      </w:pPr>
      <w:rPr>
        <w:rFonts w:hint="default" w:ascii="Times New Roman" w:hAnsi="Times New Roman" w:eastAsia="宋体" w:cs="Times New Roman"/>
        <w:b/>
        <w:sz w:val="24"/>
        <w:szCs w:val="24"/>
      </w:rPr>
    </w:lvl>
  </w:abstractNum>
  <w:abstractNum w:abstractNumId="7">
    <w:nsid w:val="8D6DE31D"/>
    <w:multiLevelType w:val="singleLevel"/>
    <w:tmpl w:val="8D6DE31D"/>
    <w:lvl w:ilvl="0" w:tentative="0">
      <w:start w:val="1"/>
      <w:numFmt w:val="decimal"/>
      <w:suff w:val="space"/>
      <w:lvlText w:val="8.5.%1 "/>
      <w:lvlJc w:val="left"/>
      <w:pPr>
        <w:tabs>
          <w:tab w:val="left" w:pos="0"/>
        </w:tabs>
        <w:ind w:left="0" w:firstLine="0"/>
      </w:pPr>
      <w:rPr>
        <w:rFonts w:hint="default" w:ascii="Times New Roman" w:hAnsi="Times New Roman" w:eastAsia="宋体" w:cs="宋体"/>
        <w:b/>
        <w:sz w:val="24"/>
        <w:szCs w:val="24"/>
      </w:rPr>
    </w:lvl>
  </w:abstractNum>
  <w:abstractNum w:abstractNumId="8">
    <w:nsid w:val="90C17405"/>
    <w:multiLevelType w:val="singleLevel"/>
    <w:tmpl w:val="90C17405"/>
    <w:lvl w:ilvl="0" w:tentative="0">
      <w:start w:val="1"/>
      <w:numFmt w:val="decimal"/>
      <w:suff w:val="space"/>
      <w:lvlText w:val="8.3.%1 "/>
      <w:lvlJc w:val="left"/>
      <w:pPr>
        <w:tabs>
          <w:tab w:val="left" w:pos="0"/>
        </w:tabs>
        <w:ind w:left="0" w:firstLine="0"/>
      </w:pPr>
      <w:rPr>
        <w:rFonts w:hint="default" w:ascii="Times New Roman" w:hAnsi="Times New Roman" w:eastAsia="宋体" w:cs="宋体"/>
        <w:b/>
        <w:sz w:val="24"/>
        <w:szCs w:val="24"/>
      </w:rPr>
    </w:lvl>
  </w:abstractNum>
  <w:abstractNum w:abstractNumId="9">
    <w:nsid w:val="90CAEF40"/>
    <w:multiLevelType w:val="singleLevel"/>
    <w:tmpl w:val="90CAEF40"/>
    <w:lvl w:ilvl="0" w:tentative="0">
      <w:start w:val="1"/>
      <w:numFmt w:val="decimal"/>
      <w:suff w:val="nothing"/>
      <w:lvlText w:val="%1．"/>
      <w:lvlJc w:val="left"/>
      <w:pPr>
        <w:ind w:left="0" w:firstLine="400"/>
      </w:pPr>
      <w:rPr>
        <w:rFonts w:hint="default"/>
      </w:rPr>
    </w:lvl>
  </w:abstractNum>
  <w:abstractNum w:abstractNumId="10">
    <w:nsid w:val="920D193B"/>
    <w:multiLevelType w:val="singleLevel"/>
    <w:tmpl w:val="920D193B"/>
    <w:lvl w:ilvl="0" w:tentative="0">
      <w:start w:val="1"/>
      <w:numFmt w:val="decimal"/>
      <w:suff w:val="nothing"/>
      <w:lvlText w:val="%1．"/>
      <w:lvlJc w:val="left"/>
      <w:pPr>
        <w:ind w:left="0" w:firstLine="400"/>
      </w:pPr>
      <w:rPr>
        <w:rFonts w:hint="default"/>
      </w:rPr>
    </w:lvl>
  </w:abstractNum>
  <w:abstractNum w:abstractNumId="11">
    <w:nsid w:val="9389C415"/>
    <w:multiLevelType w:val="singleLevel"/>
    <w:tmpl w:val="9389C415"/>
    <w:lvl w:ilvl="0" w:tentative="0">
      <w:start w:val="1"/>
      <w:numFmt w:val="decimal"/>
      <w:suff w:val="nothing"/>
      <w:lvlText w:val="%1．"/>
      <w:lvlJc w:val="left"/>
      <w:pPr>
        <w:ind w:left="0" w:firstLine="400"/>
      </w:pPr>
      <w:rPr>
        <w:rFonts w:hint="default"/>
      </w:rPr>
    </w:lvl>
  </w:abstractNum>
  <w:abstractNum w:abstractNumId="12">
    <w:nsid w:val="9428AD78"/>
    <w:multiLevelType w:val="singleLevel"/>
    <w:tmpl w:val="9428AD78"/>
    <w:lvl w:ilvl="0" w:tentative="0">
      <w:start w:val="1"/>
      <w:numFmt w:val="decimal"/>
      <w:suff w:val="nothing"/>
      <w:lvlText w:val="%1．"/>
      <w:lvlJc w:val="left"/>
      <w:pPr>
        <w:ind w:left="0" w:firstLine="400"/>
      </w:pPr>
      <w:rPr>
        <w:rFonts w:hint="default"/>
      </w:rPr>
    </w:lvl>
  </w:abstractNum>
  <w:abstractNum w:abstractNumId="13">
    <w:nsid w:val="94846AB7"/>
    <w:multiLevelType w:val="singleLevel"/>
    <w:tmpl w:val="94846AB7"/>
    <w:lvl w:ilvl="0" w:tentative="0">
      <w:start w:val="1"/>
      <w:numFmt w:val="decimal"/>
      <w:suff w:val="nothing"/>
      <w:lvlText w:val="%1．"/>
      <w:lvlJc w:val="left"/>
      <w:pPr>
        <w:ind w:left="0" w:firstLine="400"/>
      </w:pPr>
      <w:rPr>
        <w:rFonts w:hint="default"/>
      </w:rPr>
    </w:lvl>
  </w:abstractNum>
  <w:abstractNum w:abstractNumId="14">
    <w:nsid w:val="9655E4D5"/>
    <w:multiLevelType w:val="singleLevel"/>
    <w:tmpl w:val="9655E4D5"/>
    <w:lvl w:ilvl="0" w:tentative="0">
      <w:start w:val="1"/>
      <w:numFmt w:val="decimal"/>
      <w:suff w:val="space"/>
      <w:lvlText w:val="1.0.%1 "/>
      <w:lvlJc w:val="left"/>
      <w:pPr>
        <w:tabs>
          <w:tab w:val="left" w:pos="0"/>
        </w:tabs>
        <w:ind w:left="0" w:firstLine="0"/>
      </w:pPr>
      <w:rPr>
        <w:rFonts w:hint="default" w:ascii="Times New Roman" w:hAnsi="Times New Roman"/>
        <w:b/>
        <w:sz w:val="24"/>
        <w:szCs w:val="24"/>
      </w:rPr>
    </w:lvl>
  </w:abstractNum>
  <w:abstractNum w:abstractNumId="15">
    <w:nsid w:val="978073D7"/>
    <w:multiLevelType w:val="singleLevel"/>
    <w:tmpl w:val="978073D7"/>
    <w:lvl w:ilvl="0" w:tentative="0">
      <w:start w:val="1"/>
      <w:numFmt w:val="decimal"/>
      <w:suff w:val="space"/>
      <w:lvlText w:val="3.2.%1 "/>
      <w:lvlJc w:val="left"/>
      <w:pPr>
        <w:tabs>
          <w:tab w:val="left" w:pos="0"/>
        </w:tabs>
        <w:ind w:left="0" w:firstLine="0"/>
      </w:pPr>
      <w:rPr>
        <w:rFonts w:hint="default" w:ascii="Times New Roman" w:hAnsi="Times New Roman" w:eastAsia="宋体" w:cs="宋体"/>
        <w:b/>
        <w:sz w:val="24"/>
        <w:szCs w:val="24"/>
      </w:rPr>
    </w:lvl>
  </w:abstractNum>
  <w:abstractNum w:abstractNumId="16">
    <w:nsid w:val="995AAE58"/>
    <w:multiLevelType w:val="singleLevel"/>
    <w:tmpl w:val="995AAE58"/>
    <w:lvl w:ilvl="0" w:tentative="0">
      <w:start w:val="1"/>
      <w:numFmt w:val="decimal"/>
      <w:suff w:val="nothing"/>
      <w:lvlText w:val="%1．"/>
      <w:lvlJc w:val="left"/>
      <w:pPr>
        <w:ind w:left="0" w:firstLine="400"/>
      </w:pPr>
      <w:rPr>
        <w:rFonts w:hint="default"/>
      </w:rPr>
    </w:lvl>
  </w:abstractNum>
  <w:abstractNum w:abstractNumId="17">
    <w:nsid w:val="9D6624FF"/>
    <w:multiLevelType w:val="singleLevel"/>
    <w:tmpl w:val="9D6624FF"/>
    <w:lvl w:ilvl="0" w:tentative="0">
      <w:start w:val="1"/>
      <w:numFmt w:val="decimal"/>
      <w:suff w:val="space"/>
      <w:lvlText w:val="9.2.%1 "/>
      <w:lvlJc w:val="left"/>
      <w:pPr>
        <w:tabs>
          <w:tab w:val="left" w:pos="0"/>
        </w:tabs>
        <w:ind w:left="0" w:firstLine="0"/>
      </w:pPr>
      <w:rPr>
        <w:rFonts w:hint="default" w:ascii="Times New Roman" w:hAnsi="Times New Roman" w:eastAsia="宋体" w:cs="宋体"/>
        <w:b/>
        <w:sz w:val="24"/>
        <w:szCs w:val="24"/>
      </w:rPr>
    </w:lvl>
  </w:abstractNum>
  <w:abstractNum w:abstractNumId="18">
    <w:nsid w:val="9EE98937"/>
    <w:multiLevelType w:val="singleLevel"/>
    <w:tmpl w:val="9EE98937"/>
    <w:lvl w:ilvl="0" w:tentative="0">
      <w:start w:val="1"/>
      <w:numFmt w:val="decimal"/>
      <w:suff w:val="space"/>
      <w:lvlText w:val="6.1.%1 "/>
      <w:lvlJc w:val="left"/>
      <w:pPr>
        <w:tabs>
          <w:tab w:val="left" w:pos="0"/>
        </w:tabs>
        <w:ind w:left="0" w:firstLine="0"/>
      </w:pPr>
      <w:rPr>
        <w:rFonts w:hint="default" w:ascii="Times New Roman" w:hAnsi="Times New Roman" w:eastAsia="宋体" w:cs="宋体"/>
        <w:b/>
        <w:sz w:val="24"/>
        <w:szCs w:val="24"/>
      </w:rPr>
    </w:lvl>
  </w:abstractNum>
  <w:abstractNum w:abstractNumId="19">
    <w:nsid w:val="A31C7C68"/>
    <w:multiLevelType w:val="singleLevel"/>
    <w:tmpl w:val="A31C7C68"/>
    <w:lvl w:ilvl="0" w:tentative="0">
      <w:start w:val="1"/>
      <w:numFmt w:val="decimal"/>
      <w:suff w:val="space"/>
      <w:lvlText w:val="4.1.%1 "/>
      <w:lvlJc w:val="left"/>
      <w:pPr>
        <w:tabs>
          <w:tab w:val="left" w:pos="0"/>
        </w:tabs>
        <w:ind w:left="0" w:firstLine="0"/>
      </w:pPr>
      <w:rPr>
        <w:rFonts w:hint="default" w:ascii="Times New Roman" w:hAnsi="Times New Roman" w:eastAsia="宋体" w:cs="宋体"/>
        <w:b/>
        <w:sz w:val="24"/>
        <w:szCs w:val="24"/>
      </w:rPr>
    </w:lvl>
  </w:abstractNum>
  <w:abstractNum w:abstractNumId="20">
    <w:nsid w:val="A5BCA2E0"/>
    <w:multiLevelType w:val="singleLevel"/>
    <w:tmpl w:val="A5BCA2E0"/>
    <w:lvl w:ilvl="0" w:tentative="0">
      <w:start w:val="1"/>
      <w:numFmt w:val="decimal"/>
      <w:suff w:val="space"/>
      <w:lvlText w:val="6.5.%1 "/>
      <w:lvlJc w:val="left"/>
      <w:pPr>
        <w:tabs>
          <w:tab w:val="left" w:pos="0"/>
        </w:tabs>
        <w:ind w:left="0" w:firstLine="0"/>
      </w:pPr>
      <w:rPr>
        <w:rFonts w:hint="default" w:ascii="Times New Roman" w:hAnsi="Times New Roman" w:eastAsia="宋体" w:cs="宋体"/>
        <w:b/>
        <w:sz w:val="24"/>
        <w:szCs w:val="24"/>
      </w:rPr>
    </w:lvl>
  </w:abstractNum>
  <w:abstractNum w:abstractNumId="21">
    <w:nsid w:val="A6618372"/>
    <w:multiLevelType w:val="singleLevel"/>
    <w:tmpl w:val="A6618372"/>
    <w:lvl w:ilvl="0" w:tentative="0">
      <w:start w:val="1"/>
      <w:numFmt w:val="decimal"/>
      <w:suff w:val="space"/>
      <w:lvlText w:val="[%1] "/>
      <w:lvlJc w:val="left"/>
      <w:pPr>
        <w:tabs>
          <w:tab w:val="left" w:pos="0"/>
        </w:tabs>
        <w:ind w:left="0" w:firstLine="0"/>
      </w:pPr>
      <w:rPr>
        <w:rFonts w:hint="default" w:ascii="Times New Roman" w:hAnsi="Times New Roman" w:eastAsia="宋体" w:cs="Times New Roman"/>
        <w:b w:val="0"/>
        <w:sz w:val="24"/>
        <w:szCs w:val="24"/>
      </w:rPr>
    </w:lvl>
  </w:abstractNum>
  <w:abstractNum w:abstractNumId="22">
    <w:nsid w:val="A6C0B055"/>
    <w:multiLevelType w:val="singleLevel"/>
    <w:tmpl w:val="A6C0B055"/>
    <w:lvl w:ilvl="0" w:tentative="0">
      <w:start w:val="1"/>
      <w:numFmt w:val="decimal"/>
      <w:suff w:val="nothing"/>
      <w:lvlText w:val="%1．"/>
      <w:lvlJc w:val="left"/>
      <w:pPr>
        <w:ind w:left="0" w:firstLine="400"/>
      </w:pPr>
      <w:rPr>
        <w:rFonts w:hint="default"/>
      </w:rPr>
    </w:lvl>
  </w:abstractNum>
  <w:abstractNum w:abstractNumId="23">
    <w:nsid w:val="A7273B16"/>
    <w:multiLevelType w:val="singleLevel"/>
    <w:tmpl w:val="A7273B16"/>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24">
    <w:nsid w:val="B7C59B97"/>
    <w:multiLevelType w:val="singleLevel"/>
    <w:tmpl w:val="B7C59B97"/>
    <w:lvl w:ilvl="0" w:tentative="0">
      <w:start w:val="1"/>
      <w:numFmt w:val="decimal"/>
      <w:suff w:val="nothing"/>
      <w:lvlText w:val="%1．"/>
      <w:lvlJc w:val="left"/>
      <w:pPr>
        <w:ind w:left="0" w:firstLine="400"/>
      </w:pPr>
      <w:rPr>
        <w:rFonts w:hint="default"/>
      </w:rPr>
    </w:lvl>
  </w:abstractNum>
  <w:abstractNum w:abstractNumId="25">
    <w:nsid w:val="B88FDDAC"/>
    <w:multiLevelType w:val="singleLevel"/>
    <w:tmpl w:val="B88FDDAC"/>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26">
    <w:nsid w:val="B8E1B0F4"/>
    <w:multiLevelType w:val="singleLevel"/>
    <w:tmpl w:val="B8E1B0F4"/>
    <w:lvl w:ilvl="0" w:tentative="0">
      <w:start w:val="1"/>
      <w:numFmt w:val="decimal"/>
      <w:suff w:val="space"/>
      <w:lvlText w:val="6.2.%1 "/>
      <w:lvlJc w:val="left"/>
      <w:pPr>
        <w:tabs>
          <w:tab w:val="left" w:pos="0"/>
        </w:tabs>
        <w:ind w:left="0" w:firstLine="0"/>
      </w:pPr>
      <w:rPr>
        <w:rFonts w:hint="default" w:ascii="Times New Roman" w:hAnsi="Times New Roman" w:eastAsia="宋体" w:cs="宋体"/>
        <w:b/>
        <w:sz w:val="24"/>
        <w:szCs w:val="24"/>
      </w:rPr>
    </w:lvl>
  </w:abstractNum>
  <w:abstractNum w:abstractNumId="27">
    <w:nsid w:val="B8F1F9B7"/>
    <w:multiLevelType w:val="singleLevel"/>
    <w:tmpl w:val="B8F1F9B7"/>
    <w:lvl w:ilvl="0" w:tentative="0">
      <w:start w:val="1"/>
      <w:numFmt w:val="decimal"/>
      <w:suff w:val="nothing"/>
      <w:lvlText w:val="%1．"/>
      <w:lvlJc w:val="left"/>
      <w:pPr>
        <w:ind w:left="0" w:firstLine="400"/>
      </w:pPr>
      <w:rPr>
        <w:rFonts w:hint="default"/>
      </w:rPr>
    </w:lvl>
  </w:abstractNum>
  <w:abstractNum w:abstractNumId="28">
    <w:nsid w:val="B95CCAF2"/>
    <w:multiLevelType w:val="singleLevel"/>
    <w:tmpl w:val="B95CCAF2"/>
    <w:lvl w:ilvl="0" w:tentative="0">
      <w:start w:val="1"/>
      <w:numFmt w:val="decimal"/>
      <w:suff w:val="nothing"/>
      <w:lvlText w:val="%1．"/>
      <w:lvlJc w:val="left"/>
      <w:pPr>
        <w:ind w:left="0" w:firstLine="400"/>
      </w:pPr>
      <w:rPr>
        <w:rFonts w:hint="default"/>
      </w:rPr>
    </w:lvl>
  </w:abstractNum>
  <w:abstractNum w:abstractNumId="29">
    <w:nsid w:val="BC0D2B2F"/>
    <w:multiLevelType w:val="singleLevel"/>
    <w:tmpl w:val="BC0D2B2F"/>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30">
    <w:nsid w:val="C416F32F"/>
    <w:multiLevelType w:val="singleLevel"/>
    <w:tmpl w:val="C416F32F"/>
    <w:lvl w:ilvl="0" w:tentative="0">
      <w:start w:val="1"/>
      <w:numFmt w:val="decimal"/>
      <w:suff w:val="space"/>
      <w:lvlText w:val="5.3.%1 "/>
      <w:lvlJc w:val="left"/>
      <w:pPr>
        <w:tabs>
          <w:tab w:val="left" w:pos="0"/>
        </w:tabs>
        <w:ind w:left="0" w:firstLine="0"/>
      </w:pPr>
      <w:rPr>
        <w:rFonts w:hint="default" w:ascii="Times New Roman" w:hAnsi="Times New Roman" w:eastAsia="宋体" w:cs="宋体"/>
        <w:b/>
        <w:sz w:val="24"/>
        <w:szCs w:val="24"/>
      </w:rPr>
    </w:lvl>
  </w:abstractNum>
  <w:abstractNum w:abstractNumId="31">
    <w:nsid w:val="C5420C32"/>
    <w:multiLevelType w:val="singleLevel"/>
    <w:tmpl w:val="C5420C32"/>
    <w:lvl w:ilvl="0" w:tentative="0">
      <w:start w:val="1"/>
      <w:numFmt w:val="decimal"/>
      <w:suff w:val="nothing"/>
      <w:lvlText w:val="%1．"/>
      <w:lvlJc w:val="left"/>
      <w:pPr>
        <w:ind w:left="0" w:firstLine="400"/>
      </w:pPr>
      <w:rPr>
        <w:rFonts w:hint="default"/>
      </w:rPr>
    </w:lvl>
  </w:abstractNum>
  <w:abstractNum w:abstractNumId="32">
    <w:nsid w:val="D1EA1F53"/>
    <w:multiLevelType w:val="singleLevel"/>
    <w:tmpl w:val="D1EA1F53"/>
    <w:lvl w:ilvl="0" w:tentative="0">
      <w:start w:val="1"/>
      <w:numFmt w:val="decimal"/>
      <w:suff w:val="nothing"/>
      <w:lvlText w:val="%1．"/>
      <w:lvlJc w:val="left"/>
      <w:pPr>
        <w:ind w:left="0" w:firstLine="400"/>
      </w:pPr>
      <w:rPr>
        <w:rFonts w:hint="default"/>
      </w:rPr>
    </w:lvl>
  </w:abstractNum>
  <w:abstractNum w:abstractNumId="33">
    <w:nsid w:val="D35B7AE5"/>
    <w:multiLevelType w:val="singleLevel"/>
    <w:tmpl w:val="D35B7AE5"/>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34">
    <w:nsid w:val="D43032C0"/>
    <w:multiLevelType w:val="singleLevel"/>
    <w:tmpl w:val="D43032C0"/>
    <w:lvl w:ilvl="0" w:tentative="0">
      <w:start w:val="1"/>
      <w:numFmt w:val="decimal"/>
      <w:suff w:val="nothing"/>
      <w:lvlText w:val="%1．"/>
      <w:lvlJc w:val="left"/>
      <w:pPr>
        <w:ind w:left="0" w:firstLine="400"/>
      </w:pPr>
      <w:rPr>
        <w:rFonts w:hint="default"/>
      </w:rPr>
    </w:lvl>
  </w:abstractNum>
  <w:abstractNum w:abstractNumId="35">
    <w:nsid w:val="D7F383E7"/>
    <w:multiLevelType w:val="singleLevel"/>
    <w:tmpl w:val="D7F383E7"/>
    <w:lvl w:ilvl="0" w:tentative="0">
      <w:start w:val="1"/>
      <w:numFmt w:val="decimal"/>
      <w:suff w:val="nothing"/>
      <w:lvlText w:val="%1．"/>
      <w:lvlJc w:val="left"/>
      <w:pPr>
        <w:ind w:left="0" w:firstLine="400"/>
      </w:pPr>
      <w:rPr>
        <w:rFonts w:hint="default"/>
      </w:rPr>
    </w:lvl>
  </w:abstractNum>
  <w:abstractNum w:abstractNumId="36">
    <w:nsid w:val="D7FF308B"/>
    <w:multiLevelType w:val="singleLevel"/>
    <w:tmpl w:val="D7FF308B"/>
    <w:lvl w:ilvl="0" w:tentative="0">
      <w:start w:val="1"/>
      <w:numFmt w:val="decimal"/>
      <w:suff w:val="nothing"/>
      <w:lvlText w:val="%1．"/>
      <w:lvlJc w:val="left"/>
      <w:pPr>
        <w:ind w:left="0" w:firstLine="400"/>
      </w:pPr>
      <w:rPr>
        <w:rFonts w:hint="default"/>
      </w:rPr>
    </w:lvl>
  </w:abstractNum>
  <w:abstractNum w:abstractNumId="37">
    <w:nsid w:val="D92EE54E"/>
    <w:multiLevelType w:val="singleLevel"/>
    <w:tmpl w:val="D92EE54E"/>
    <w:lvl w:ilvl="0" w:tentative="0">
      <w:start w:val="1"/>
      <w:numFmt w:val="decimal"/>
      <w:suff w:val="nothing"/>
      <w:lvlText w:val="%1．"/>
      <w:lvlJc w:val="left"/>
      <w:pPr>
        <w:ind w:left="0" w:firstLine="400"/>
      </w:pPr>
      <w:rPr>
        <w:rFonts w:hint="default"/>
      </w:rPr>
    </w:lvl>
  </w:abstractNum>
  <w:abstractNum w:abstractNumId="38">
    <w:nsid w:val="DB082CE0"/>
    <w:multiLevelType w:val="singleLevel"/>
    <w:tmpl w:val="DB082CE0"/>
    <w:lvl w:ilvl="0" w:tentative="0">
      <w:start w:val="1"/>
      <w:numFmt w:val="decimal"/>
      <w:suff w:val="nothing"/>
      <w:lvlText w:val="%1．"/>
      <w:lvlJc w:val="left"/>
      <w:pPr>
        <w:ind w:left="0" w:firstLine="400"/>
      </w:pPr>
      <w:rPr>
        <w:rFonts w:hint="default"/>
      </w:rPr>
    </w:lvl>
  </w:abstractNum>
  <w:abstractNum w:abstractNumId="39">
    <w:nsid w:val="DB99D2F6"/>
    <w:multiLevelType w:val="singleLevel"/>
    <w:tmpl w:val="DB99D2F6"/>
    <w:lvl w:ilvl="0" w:tentative="0">
      <w:start w:val="1"/>
      <w:numFmt w:val="decimal"/>
      <w:suff w:val="space"/>
      <w:lvlText w:val="6.4.%1 "/>
      <w:lvlJc w:val="left"/>
      <w:pPr>
        <w:tabs>
          <w:tab w:val="left" w:pos="0"/>
        </w:tabs>
        <w:ind w:left="0" w:firstLine="0"/>
      </w:pPr>
      <w:rPr>
        <w:rFonts w:hint="default" w:ascii="Times New Roman" w:hAnsi="Times New Roman" w:eastAsia="宋体" w:cs="宋体"/>
        <w:b/>
        <w:sz w:val="24"/>
        <w:szCs w:val="24"/>
      </w:rPr>
    </w:lvl>
  </w:abstractNum>
  <w:abstractNum w:abstractNumId="40">
    <w:nsid w:val="DD3B41A9"/>
    <w:multiLevelType w:val="singleLevel"/>
    <w:tmpl w:val="DD3B41A9"/>
    <w:lvl w:ilvl="0" w:tentative="0">
      <w:start w:val="1"/>
      <w:numFmt w:val="decimal"/>
      <w:suff w:val="nothing"/>
      <w:lvlText w:val="%1．"/>
      <w:lvlJc w:val="left"/>
      <w:pPr>
        <w:ind w:left="0" w:firstLine="400"/>
      </w:pPr>
      <w:rPr>
        <w:rFonts w:hint="default"/>
      </w:rPr>
    </w:lvl>
  </w:abstractNum>
  <w:abstractNum w:abstractNumId="41">
    <w:nsid w:val="E04C024A"/>
    <w:multiLevelType w:val="singleLevel"/>
    <w:tmpl w:val="E04C024A"/>
    <w:lvl w:ilvl="0" w:tentative="0">
      <w:start w:val="1"/>
      <w:numFmt w:val="decimal"/>
      <w:suff w:val="nothing"/>
      <w:lvlText w:val="%1．"/>
      <w:lvlJc w:val="left"/>
      <w:pPr>
        <w:ind w:left="0" w:firstLine="400"/>
      </w:pPr>
      <w:rPr>
        <w:rFonts w:hint="default"/>
      </w:rPr>
    </w:lvl>
  </w:abstractNum>
  <w:abstractNum w:abstractNumId="42">
    <w:nsid w:val="EA921019"/>
    <w:multiLevelType w:val="singleLevel"/>
    <w:tmpl w:val="EA921019"/>
    <w:lvl w:ilvl="0" w:tentative="0">
      <w:start w:val="1"/>
      <w:numFmt w:val="decimal"/>
      <w:suff w:val="nothing"/>
      <w:lvlText w:val="%1．"/>
      <w:lvlJc w:val="left"/>
      <w:pPr>
        <w:ind w:left="0" w:firstLine="400"/>
      </w:pPr>
      <w:rPr>
        <w:rFonts w:hint="default"/>
      </w:rPr>
    </w:lvl>
  </w:abstractNum>
  <w:abstractNum w:abstractNumId="43">
    <w:nsid w:val="EC71A67E"/>
    <w:multiLevelType w:val="singleLevel"/>
    <w:tmpl w:val="EC71A67E"/>
    <w:lvl w:ilvl="0" w:tentative="0">
      <w:start w:val="1"/>
      <w:numFmt w:val="decimal"/>
      <w:suff w:val="space"/>
      <w:lvlText w:val="5.2.%1 "/>
      <w:lvlJc w:val="left"/>
      <w:pPr>
        <w:tabs>
          <w:tab w:val="left" w:pos="0"/>
        </w:tabs>
        <w:ind w:left="0" w:firstLine="0"/>
      </w:pPr>
      <w:rPr>
        <w:rFonts w:hint="default" w:ascii="Times New Roman" w:hAnsi="Times New Roman" w:eastAsia="宋体" w:cs="宋体"/>
        <w:b/>
        <w:sz w:val="24"/>
        <w:szCs w:val="24"/>
      </w:rPr>
    </w:lvl>
  </w:abstractNum>
  <w:abstractNum w:abstractNumId="44">
    <w:nsid w:val="EF55EB1A"/>
    <w:multiLevelType w:val="singleLevel"/>
    <w:tmpl w:val="EF55EB1A"/>
    <w:lvl w:ilvl="0" w:tentative="0">
      <w:start w:val="1"/>
      <w:numFmt w:val="decimal"/>
      <w:suff w:val="space"/>
      <w:lvlText w:val="4.3.%1 "/>
      <w:lvlJc w:val="left"/>
      <w:pPr>
        <w:tabs>
          <w:tab w:val="left" w:pos="0"/>
        </w:tabs>
        <w:ind w:left="0" w:firstLine="0"/>
      </w:pPr>
      <w:rPr>
        <w:rFonts w:hint="default" w:ascii="Times New Roman" w:hAnsi="Times New Roman" w:eastAsia="宋体" w:cs="宋体"/>
        <w:b/>
        <w:sz w:val="24"/>
        <w:szCs w:val="24"/>
      </w:rPr>
    </w:lvl>
  </w:abstractNum>
  <w:abstractNum w:abstractNumId="45">
    <w:nsid w:val="FB11BC2C"/>
    <w:multiLevelType w:val="singleLevel"/>
    <w:tmpl w:val="FB11BC2C"/>
    <w:lvl w:ilvl="0" w:tentative="0">
      <w:start w:val="1"/>
      <w:numFmt w:val="decimal"/>
      <w:suff w:val="nothing"/>
      <w:lvlText w:val="%1．"/>
      <w:lvlJc w:val="left"/>
      <w:pPr>
        <w:ind w:left="0" w:firstLine="400"/>
      </w:pPr>
      <w:rPr>
        <w:rFonts w:hint="default"/>
      </w:rPr>
    </w:lvl>
  </w:abstractNum>
  <w:abstractNum w:abstractNumId="46">
    <w:nsid w:val="FCEF85C2"/>
    <w:multiLevelType w:val="singleLevel"/>
    <w:tmpl w:val="FCEF85C2"/>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47">
    <w:nsid w:val="FD7DC27B"/>
    <w:multiLevelType w:val="singleLevel"/>
    <w:tmpl w:val="FD7DC27B"/>
    <w:lvl w:ilvl="0" w:tentative="0">
      <w:start w:val="1"/>
      <w:numFmt w:val="decimal"/>
      <w:suff w:val="space"/>
      <w:lvlText w:val="8.2.%1 "/>
      <w:lvlJc w:val="left"/>
      <w:pPr>
        <w:tabs>
          <w:tab w:val="left" w:pos="0"/>
        </w:tabs>
        <w:ind w:left="0" w:firstLine="0"/>
      </w:pPr>
      <w:rPr>
        <w:rFonts w:hint="default" w:ascii="Times New Roman" w:hAnsi="Times New Roman" w:eastAsia="宋体" w:cs="宋体"/>
        <w:b/>
        <w:sz w:val="24"/>
        <w:szCs w:val="24"/>
      </w:rPr>
    </w:lvl>
  </w:abstractNum>
  <w:abstractNum w:abstractNumId="48">
    <w:nsid w:val="FD9B925B"/>
    <w:multiLevelType w:val="singleLevel"/>
    <w:tmpl w:val="FD9B925B"/>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49">
    <w:nsid w:val="FDAB5669"/>
    <w:multiLevelType w:val="singleLevel"/>
    <w:tmpl w:val="FDAB5669"/>
    <w:lvl w:ilvl="0" w:tentative="0">
      <w:start w:val="1"/>
      <w:numFmt w:val="decimal"/>
      <w:suff w:val="nothing"/>
      <w:lvlText w:val="%1．"/>
      <w:lvlJc w:val="left"/>
      <w:pPr>
        <w:ind w:left="0" w:firstLine="400"/>
      </w:pPr>
      <w:rPr>
        <w:rFonts w:hint="default"/>
      </w:rPr>
    </w:lvl>
  </w:abstractNum>
  <w:abstractNum w:abstractNumId="50">
    <w:nsid w:val="00B43631"/>
    <w:multiLevelType w:val="singleLevel"/>
    <w:tmpl w:val="00B43631"/>
    <w:lvl w:ilvl="0" w:tentative="0">
      <w:start w:val="1"/>
      <w:numFmt w:val="decimal"/>
      <w:suff w:val="space"/>
      <w:lvlText w:val="2.0.%1 "/>
      <w:lvlJc w:val="left"/>
      <w:pPr>
        <w:tabs>
          <w:tab w:val="left" w:pos="0"/>
        </w:tabs>
        <w:ind w:left="0" w:firstLine="0"/>
      </w:pPr>
      <w:rPr>
        <w:rFonts w:hint="default" w:ascii="Times New Roman" w:hAnsi="Times New Roman" w:eastAsia="宋体" w:cs="Times New Roman"/>
        <w:b/>
        <w:sz w:val="24"/>
        <w:szCs w:val="24"/>
      </w:rPr>
    </w:lvl>
  </w:abstractNum>
  <w:abstractNum w:abstractNumId="51">
    <w:nsid w:val="00DD4E47"/>
    <w:multiLevelType w:val="multilevel"/>
    <w:tmpl w:val="00DD4E47"/>
    <w:lvl w:ilvl="0" w:tentative="0">
      <w:start w:val="1"/>
      <w:numFmt w:val="decimal"/>
      <w:pStyle w:val="2"/>
      <w:suff w:val="space"/>
      <w:lvlText w:val="%1 "/>
      <w:lvlJc w:val="left"/>
      <w:pPr>
        <w:tabs>
          <w:tab w:val="left" w:pos="420"/>
        </w:tabs>
        <w:ind w:left="432" w:hanging="432"/>
      </w:pPr>
      <w:rPr>
        <w:rFonts w:hint="default" w:ascii="Times New Roman" w:hAnsi="Times New Roman" w:eastAsia="宋体" w:cs="Times New Roman"/>
        <w:sz w:val="30"/>
        <w:szCs w:val="30"/>
      </w:rPr>
    </w:lvl>
    <w:lvl w:ilvl="1" w:tentative="0">
      <w:start w:val="1"/>
      <w:numFmt w:val="decimal"/>
      <w:pStyle w:val="3"/>
      <w:suff w:val="space"/>
      <w:lvlText w:val="%1.%2 "/>
      <w:lvlJc w:val="left"/>
      <w:pPr>
        <w:tabs>
          <w:tab w:val="left" w:pos="420"/>
        </w:tabs>
        <w:ind w:left="575" w:hanging="575"/>
      </w:pPr>
      <w:rPr>
        <w:rFonts w:hint="default" w:ascii="Times New Roman" w:hAnsi="Times New Roman" w:eastAsia="黑体" w:cs="Times New Roman"/>
        <w:sz w:val="28"/>
        <w:szCs w:val="28"/>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52">
    <w:nsid w:val="057AEEBD"/>
    <w:multiLevelType w:val="singleLevel"/>
    <w:tmpl w:val="057AEEBD"/>
    <w:lvl w:ilvl="0" w:tentative="0">
      <w:start w:val="1"/>
      <w:numFmt w:val="decimal"/>
      <w:suff w:val="nothing"/>
      <w:lvlText w:val="%1．"/>
      <w:lvlJc w:val="left"/>
      <w:pPr>
        <w:ind w:left="0" w:firstLine="400"/>
      </w:pPr>
      <w:rPr>
        <w:rFonts w:hint="default"/>
      </w:rPr>
    </w:lvl>
  </w:abstractNum>
  <w:abstractNum w:abstractNumId="53">
    <w:nsid w:val="085FC278"/>
    <w:multiLevelType w:val="singleLevel"/>
    <w:tmpl w:val="085FC278"/>
    <w:lvl w:ilvl="0" w:tentative="0">
      <w:start w:val="1"/>
      <w:numFmt w:val="decimal"/>
      <w:suff w:val="nothing"/>
      <w:lvlText w:val="%1．"/>
      <w:lvlJc w:val="left"/>
      <w:pPr>
        <w:ind w:left="0" w:firstLine="400"/>
      </w:pPr>
      <w:rPr>
        <w:rFonts w:hint="default"/>
      </w:rPr>
    </w:lvl>
  </w:abstractNum>
  <w:abstractNum w:abstractNumId="54">
    <w:nsid w:val="0AEF77F3"/>
    <w:multiLevelType w:val="singleLevel"/>
    <w:tmpl w:val="0AEF77F3"/>
    <w:lvl w:ilvl="0" w:tentative="0">
      <w:start w:val="1"/>
      <w:numFmt w:val="decimal"/>
      <w:suff w:val="nothing"/>
      <w:lvlText w:val="%1．"/>
      <w:lvlJc w:val="left"/>
      <w:pPr>
        <w:ind w:left="0" w:firstLine="400"/>
      </w:pPr>
      <w:rPr>
        <w:rFonts w:hint="default"/>
      </w:rPr>
    </w:lvl>
  </w:abstractNum>
  <w:abstractNum w:abstractNumId="55">
    <w:nsid w:val="0D0111BE"/>
    <w:multiLevelType w:val="singleLevel"/>
    <w:tmpl w:val="0D0111BE"/>
    <w:lvl w:ilvl="0" w:tentative="0">
      <w:start w:val="1"/>
      <w:numFmt w:val="decimal"/>
      <w:suff w:val="space"/>
      <w:lvlText w:val="9.3.%1 "/>
      <w:lvlJc w:val="left"/>
      <w:pPr>
        <w:tabs>
          <w:tab w:val="left" w:pos="0"/>
        </w:tabs>
        <w:ind w:left="0" w:firstLine="0"/>
      </w:pPr>
      <w:rPr>
        <w:rFonts w:hint="default" w:ascii="Times New Roman" w:hAnsi="Times New Roman" w:eastAsia="宋体" w:cs="宋体"/>
        <w:b/>
        <w:sz w:val="24"/>
        <w:szCs w:val="24"/>
      </w:rPr>
    </w:lvl>
  </w:abstractNum>
  <w:abstractNum w:abstractNumId="56">
    <w:nsid w:val="0F76CE03"/>
    <w:multiLevelType w:val="singleLevel"/>
    <w:tmpl w:val="0F76CE03"/>
    <w:lvl w:ilvl="0" w:tentative="0">
      <w:start w:val="1"/>
      <w:numFmt w:val="decimal"/>
      <w:suff w:val="space"/>
      <w:lvlText w:val="8.1.%1 "/>
      <w:lvlJc w:val="left"/>
      <w:pPr>
        <w:tabs>
          <w:tab w:val="left" w:pos="0"/>
        </w:tabs>
        <w:ind w:left="0" w:firstLine="0"/>
      </w:pPr>
      <w:rPr>
        <w:rFonts w:hint="default" w:ascii="Times New Roman" w:hAnsi="Times New Roman" w:eastAsia="宋体" w:cs="宋体"/>
        <w:b/>
        <w:sz w:val="24"/>
        <w:szCs w:val="24"/>
      </w:rPr>
    </w:lvl>
  </w:abstractNum>
  <w:abstractNum w:abstractNumId="57">
    <w:nsid w:val="139B4844"/>
    <w:multiLevelType w:val="singleLevel"/>
    <w:tmpl w:val="139B4844"/>
    <w:lvl w:ilvl="0" w:tentative="0">
      <w:start w:val="1"/>
      <w:numFmt w:val="decimal"/>
      <w:suff w:val="nothing"/>
      <w:lvlText w:val="%1．"/>
      <w:lvlJc w:val="left"/>
      <w:pPr>
        <w:ind w:left="0" w:firstLine="400"/>
      </w:pPr>
      <w:rPr>
        <w:rFonts w:hint="default"/>
      </w:rPr>
    </w:lvl>
  </w:abstractNum>
  <w:abstractNum w:abstractNumId="58">
    <w:nsid w:val="19640DD4"/>
    <w:multiLevelType w:val="singleLevel"/>
    <w:tmpl w:val="19640DD4"/>
    <w:lvl w:ilvl="0" w:tentative="0">
      <w:start w:val="1"/>
      <w:numFmt w:val="decimal"/>
      <w:suff w:val="nothing"/>
      <w:lvlText w:val="%1．"/>
      <w:lvlJc w:val="left"/>
      <w:pPr>
        <w:ind w:left="0" w:firstLine="400"/>
      </w:pPr>
      <w:rPr>
        <w:rFonts w:hint="default"/>
      </w:rPr>
    </w:lvl>
  </w:abstractNum>
  <w:abstractNum w:abstractNumId="59">
    <w:nsid w:val="19B12AE8"/>
    <w:multiLevelType w:val="singleLevel"/>
    <w:tmpl w:val="19B12AE8"/>
    <w:lvl w:ilvl="0" w:tentative="0">
      <w:start w:val="1"/>
      <w:numFmt w:val="decimal"/>
      <w:suff w:val="nothing"/>
      <w:lvlText w:val="%1．"/>
      <w:lvlJc w:val="left"/>
      <w:pPr>
        <w:ind w:left="0" w:firstLine="400"/>
      </w:pPr>
      <w:rPr>
        <w:rFonts w:hint="default"/>
      </w:rPr>
    </w:lvl>
  </w:abstractNum>
  <w:abstractNum w:abstractNumId="60">
    <w:nsid w:val="1D3B6AFE"/>
    <w:multiLevelType w:val="singleLevel"/>
    <w:tmpl w:val="1D3B6AFE"/>
    <w:lvl w:ilvl="0" w:tentative="0">
      <w:start w:val="1"/>
      <w:numFmt w:val="decimal"/>
      <w:suff w:val="space"/>
      <w:lvlText w:val="8.4.%1 "/>
      <w:lvlJc w:val="left"/>
      <w:pPr>
        <w:tabs>
          <w:tab w:val="left" w:pos="0"/>
        </w:tabs>
        <w:ind w:left="0" w:firstLine="0"/>
      </w:pPr>
      <w:rPr>
        <w:rFonts w:hint="default" w:ascii="Times New Roman" w:hAnsi="Times New Roman" w:eastAsia="宋体" w:cs="宋体"/>
        <w:b/>
        <w:sz w:val="24"/>
        <w:szCs w:val="24"/>
      </w:rPr>
    </w:lvl>
  </w:abstractNum>
  <w:abstractNum w:abstractNumId="61">
    <w:nsid w:val="1F156659"/>
    <w:multiLevelType w:val="singleLevel"/>
    <w:tmpl w:val="1F156659"/>
    <w:lvl w:ilvl="0" w:tentative="0">
      <w:start w:val="1"/>
      <w:numFmt w:val="decimal"/>
      <w:suff w:val="nothing"/>
      <w:lvlText w:val="%1．"/>
      <w:lvlJc w:val="left"/>
      <w:pPr>
        <w:ind w:left="0" w:firstLine="400"/>
      </w:pPr>
      <w:rPr>
        <w:rFonts w:hint="default"/>
      </w:rPr>
    </w:lvl>
  </w:abstractNum>
  <w:abstractNum w:abstractNumId="62">
    <w:nsid w:val="1F23624D"/>
    <w:multiLevelType w:val="singleLevel"/>
    <w:tmpl w:val="1F23624D"/>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63">
    <w:nsid w:val="1FC91163"/>
    <w:multiLevelType w:val="multilevel"/>
    <w:tmpl w:val="1FC91163"/>
    <w:lvl w:ilvl="0" w:tentative="0">
      <w:start w:val="1"/>
      <w:numFmt w:val="decimal"/>
      <w:pStyle w:val="4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1"/>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3"/>
      <w:suff w:val="nothing"/>
      <w:lvlText w:val="%1.%2.%3　"/>
      <w:lvlJc w:val="left"/>
      <w:pPr>
        <w:ind w:left="105" w:firstLine="0"/>
      </w:pPr>
      <w:rPr>
        <w:rFonts w:hint="eastAsia" w:ascii="黑体" w:hAnsi="Times New Roman" w:eastAsia="黑体"/>
        <w:b w:val="0"/>
        <w:i w:val="0"/>
        <w:sz w:val="21"/>
      </w:rPr>
    </w:lvl>
    <w:lvl w:ilvl="3" w:tentative="0">
      <w:start w:val="1"/>
      <w:numFmt w:val="decimal"/>
      <w:pStyle w:val="44"/>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4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4">
    <w:nsid w:val="217B624E"/>
    <w:multiLevelType w:val="singleLevel"/>
    <w:tmpl w:val="217B624E"/>
    <w:lvl w:ilvl="0" w:tentative="0">
      <w:start w:val="1"/>
      <w:numFmt w:val="decimal"/>
      <w:suff w:val="nothing"/>
      <w:lvlText w:val="%1．"/>
      <w:lvlJc w:val="left"/>
      <w:pPr>
        <w:ind w:left="0" w:firstLine="400"/>
      </w:pPr>
      <w:rPr>
        <w:rFonts w:hint="default"/>
      </w:rPr>
    </w:lvl>
  </w:abstractNum>
  <w:abstractNum w:abstractNumId="65">
    <w:nsid w:val="245B0792"/>
    <w:multiLevelType w:val="singleLevel"/>
    <w:tmpl w:val="245B0792"/>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66">
    <w:nsid w:val="25B80C6B"/>
    <w:multiLevelType w:val="singleLevel"/>
    <w:tmpl w:val="25B80C6B"/>
    <w:lvl w:ilvl="0" w:tentative="0">
      <w:start w:val="1"/>
      <w:numFmt w:val="decimal"/>
      <w:suff w:val="nothing"/>
      <w:lvlText w:val="%1．"/>
      <w:lvlJc w:val="left"/>
      <w:pPr>
        <w:ind w:left="0" w:firstLine="400"/>
      </w:pPr>
      <w:rPr>
        <w:rFonts w:hint="default"/>
      </w:rPr>
    </w:lvl>
  </w:abstractNum>
  <w:abstractNum w:abstractNumId="67">
    <w:nsid w:val="269FA00A"/>
    <w:multiLevelType w:val="singleLevel"/>
    <w:tmpl w:val="269FA00A"/>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68">
    <w:nsid w:val="26BE9701"/>
    <w:multiLevelType w:val="singleLevel"/>
    <w:tmpl w:val="26BE9701"/>
    <w:lvl w:ilvl="0" w:tentative="0">
      <w:start w:val="1"/>
      <w:numFmt w:val="decimal"/>
      <w:suff w:val="nothing"/>
      <w:lvlText w:val="%1．"/>
      <w:lvlJc w:val="left"/>
      <w:pPr>
        <w:ind w:left="0" w:firstLine="400"/>
      </w:pPr>
      <w:rPr>
        <w:rFonts w:hint="default"/>
      </w:rPr>
    </w:lvl>
  </w:abstractNum>
  <w:abstractNum w:abstractNumId="69">
    <w:nsid w:val="2B69276C"/>
    <w:multiLevelType w:val="singleLevel"/>
    <w:tmpl w:val="2B69276C"/>
    <w:lvl w:ilvl="0" w:tentative="0">
      <w:start w:val="1"/>
      <w:numFmt w:val="decimal"/>
      <w:suff w:val="space"/>
      <w:lvlText w:val="%1) "/>
      <w:lvlJc w:val="left"/>
      <w:pPr>
        <w:tabs>
          <w:tab w:val="left" w:pos="0"/>
        </w:tabs>
        <w:ind w:left="454" w:leftChars="0" w:hanging="454" w:firstLineChars="0"/>
      </w:pPr>
      <w:rPr>
        <w:rFonts w:hint="default" w:ascii="Times New Roman" w:hAnsi="Times New Roman" w:eastAsia="宋体" w:cs="Times New Roman"/>
        <w:b/>
        <w:sz w:val="24"/>
        <w:szCs w:val="24"/>
      </w:rPr>
    </w:lvl>
  </w:abstractNum>
  <w:abstractNum w:abstractNumId="70">
    <w:nsid w:val="2DEB91AB"/>
    <w:multiLevelType w:val="singleLevel"/>
    <w:tmpl w:val="2DEB91AB"/>
    <w:lvl w:ilvl="0" w:tentative="0">
      <w:start w:val="1"/>
      <w:numFmt w:val="decimal"/>
      <w:suff w:val="nothing"/>
      <w:lvlText w:val="%1．"/>
      <w:lvlJc w:val="left"/>
      <w:pPr>
        <w:ind w:left="0" w:firstLine="400"/>
      </w:pPr>
      <w:rPr>
        <w:rFonts w:hint="default"/>
      </w:rPr>
    </w:lvl>
  </w:abstractNum>
  <w:abstractNum w:abstractNumId="71">
    <w:nsid w:val="2EE9DA04"/>
    <w:multiLevelType w:val="singleLevel"/>
    <w:tmpl w:val="2EE9DA04"/>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72">
    <w:nsid w:val="31A9740D"/>
    <w:multiLevelType w:val="singleLevel"/>
    <w:tmpl w:val="31A9740D"/>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73">
    <w:nsid w:val="331BC7EE"/>
    <w:multiLevelType w:val="singleLevel"/>
    <w:tmpl w:val="331BC7EE"/>
    <w:lvl w:ilvl="0" w:tentative="0">
      <w:start w:val="1"/>
      <w:numFmt w:val="decimal"/>
      <w:suff w:val="nothing"/>
      <w:lvlText w:val="%1．"/>
      <w:lvlJc w:val="left"/>
      <w:pPr>
        <w:ind w:left="0" w:firstLine="400"/>
      </w:pPr>
      <w:rPr>
        <w:rFonts w:hint="default"/>
      </w:rPr>
    </w:lvl>
  </w:abstractNum>
  <w:abstractNum w:abstractNumId="74">
    <w:nsid w:val="359C7231"/>
    <w:multiLevelType w:val="singleLevel"/>
    <w:tmpl w:val="359C7231"/>
    <w:lvl w:ilvl="0" w:tentative="0">
      <w:start w:val="1"/>
      <w:numFmt w:val="decimal"/>
      <w:suff w:val="nothing"/>
      <w:lvlText w:val="%1．"/>
      <w:lvlJc w:val="left"/>
      <w:pPr>
        <w:ind w:left="0" w:firstLine="400"/>
      </w:pPr>
      <w:rPr>
        <w:rFonts w:hint="default"/>
      </w:rPr>
    </w:lvl>
  </w:abstractNum>
  <w:abstractNum w:abstractNumId="75">
    <w:nsid w:val="35D89987"/>
    <w:multiLevelType w:val="singleLevel"/>
    <w:tmpl w:val="35D89987"/>
    <w:lvl w:ilvl="0" w:tentative="0">
      <w:start w:val="1"/>
      <w:numFmt w:val="decimal"/>
      <w:suff w:val="nothing"/>
      <w:lvlText w:val="%1．"/>
      <w:lvlJc w:val="left"/>
      <w:pPr>
        <w:ind w:left="0" w:firstLine="400"/>
      </w:pPr>
      <w:rPr>
        <w:rFonts w:hint="default"/>
      </w:rPr>
    </w:lvl>
  </w:abstractNum>
  <w:abstractNum w:abstractNumId="76">
    <w:nsid w:val="393521B0"/>
    <w:multiLevelType w:val="singleLevel"/>
    <w:tmpl w:val="393521B0"/>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77">
    <w:nsid w:val="4037962A"/>
    <w:multiLevelType w:val="singleLevel"/>
    <w:tmpl w:val="4037962A"/>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78">
    <w:nsid w:val="40EEFC6A"/>
    <w:multiLevelType w:val="singleLevel"/>
    <w:tmpl w:val="40EEFC6A"/>
    <w:lvl w:ilvl="0" w:tentative="0">
      <w:start w:val="1"/>
      <w:numFmt w:val="decimal"/>
      <w:suff w:val="space"/>
      <w:lvlText w:val="3.3.%1 "/>
      <w:lvlJc w:val="left"/>
      <w:pPr>
        <w:tabs>
          <w:tab w:val="left" w:pos="0"/>
        </w:tabs>
        <w:ind w:left="0" w:firstLine="0"/>
      </w:pPr>
      <w:rPr>
        <w:rFonts w:hint="default" w:ascii="Times New Roman" w:hAnsi="Times New Roman" w:eastAsia="宋体" w:cs="宋体"/>
        <w:b/>
        <w:sz w:val="24"/>
        <w:szCs w:val="24"/>
      </w:rPr>
    </w:lvl>
  </w:abstractNum>
  <w:abstractNum w:abstractNumId="79">
    <w:nsid w:val="411EC34A"/>
    <w:multiLevelType w:val="singleLevel"/>
    <w:tmpl w:val="411EC34A"/>
    <w:lvl w:ilvl="0" w:tentative="0">
      <w:start w:val="1"/>
      <w:numFmt w:val="decimal"/>
      <w:suff w:val="nothing"/>
      <w:lvlText w:val="%1．"/>
      <w:lvlJc w:val="left"/>
      <w:pPr>
        <w:ind w:left="0" w:firstLine="400"/>
      </w:pPr>
      <w:rPr>
        <w:rFonts w:hint="default"/>
      </w:rPr>
    </w:lvl>
  </w:abstractNum>
  <w:abstractNum w:abstractNumId="80">
    <w:nsid w:val="44C50F90"/>
    <w:multiLevelType w:val="multilevel"/>
    <w:tmpl w:val="44C50F90"/>
    <w:lvl w:ilvl="0" w:tentative="0">
      <w:start w:val="1"/>
      <w:numFmt w:val="lowerLetter"/>
      <w:pStyle w:val="4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45"/>
      <w:lvlText w:val="%2)"/>
      <w:lvlJc w:val="left"/>
      <w:pPr>
        <w:tabs>
          <w:tab w:val="left" w:pos="1260"/>
        </w:tabs>
        <w:ind w:left="1259" w:hanging="419"/>
      </w:pPr>
      <w:rPr>
        <w:rFonts w:hint="eastAsia"/>
      </w:rPr>
    </w:lvl>
    <w:lvl w:ilvl="2" w:tentative="0">
      <w:start w:val="1"/>
      <w:numFmt w:val="decimal"/>
      <w:pStyle w:val="48"/>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1">
    <w:nsid w:val="46D240D1"/>
    <w:multiLevelType w:val="singleLevel"/>
    <w:tmpl w:val="46D240D1"/>
    <w:lvl w:ilvl="0" w:tentative="0">
      <w:start w:val="1"/>
      <w:numFmt w:val="decimal"/>
      <w:suff w:val="space"/>
      <w:lvlText w:val="4.2.%1 "/>
      <w:lvlJc w:val="left"/>
      <w:pPr>
        <w:tabs>
          <w:tab w:val="left" w:pos="0"/>
        </w:tabs>
        <w:ind w:left="0" w:firstLine="0"/>
      </w:pPr>
      <w:rPr>
        <w:rFonts w:hint="default" w:ascii="Times New Roman" w:hAnsi="Times New Roman" w:eastAsia="宋体" w:cs="宋体"/>
        <w:b/>
        <w:sz w:val="24"/>
        <w:szCs w:val="24"/>
      </w:rPr>
    </w:lvl>
  </w:abstractNum>
  <w:abstractNum w:abstractNumId="82">
    <w:nsid w:val="49AD07B6"/>
    <w:multiLevelType w:val="singleLevel"/>
    <w:tmpl w:val="49AD07B6"/>
    <w:lvl w:ilvl="0" w:tentative="0">
      <w:start w:val="1"/>
      <w:numFmt w:val="decimal"/>
      <w:suff w:val="nothing"/>
      <w:lvlText w:val="%1．"/>
      <w:lvlJc w:val="left"/>
      <w:pPr>
        <w:ind w:left="0" w:firstLine="400"/>
      </w:pPr>
      <w:rPr>
        <w:rFonts w:hint="default"/>
      </w:rPr>
    </w:lvl>
  </w:abstractNum>
  <w:abstractNum w:abstractNumId="83">
    <w:nsid w:val="4DB7CF7B"/>
    <w:multiLevelType w:val="singleLevel"/>
    <w:tmpl w:val="4DB7CF7B"/>
    <w:lvl w:ilvl="0" w:tentative="0">
      <w:start w:val="1"/>
      <w:numFmt w:val="decimal"/>
      <w:suff w:val="nothing"/>
      <w:lvlText w:val="%1．"/>
      <w:lvlJc w:val="left"/>
      <w:pPr>
        <w:ind w:left="0" w:firstLine="400"/>
      </w:pPr>
      <w:rPr>
        <w:rFonts w:hint="default"/>
      </w:rPr>
    </w:lvl>
  </w:abstractNum>
  <w:abstractNum w:abstractNumId="84">
    <w:nsid w:val="4DB7E99C"/>
    <w:multiLevelType w:val="singleLevel"/>
    <w:tmpl w:val="4DB7E99C"/>
    <w:lvl w:ilvl="0" w:tentative="0">
      <w:start w:val="1"/>
      <w:numFmt w:val="decimal"/>
      <w:suff w:val="nothing"/>
      <w:lvlText w:val="%1．"/>
      <w:lvlJc w:val="left"/>
      <w:pPr>
        <w:ind w:left="0" w:firstLine="400"/>
      </w:pPr>
      <w:rPr>
        <w:rFonts w:hint="default"/>
      </w:rPr>
    </w:lvl>
  </w:abstractNum>
  <w:abstractNum w:abstractNumId="85">
    <w:nsid w:val="5140A34F"/>
    <w:multiLevelType w:val="singleLevel"/>
    <w:tmpl w:val="5140A34F"/>
    <w:lvl w:ilvl="0" w:tentative="0">
      <w:start w:val="1"/>
      <w:numFmt w:val="decimal"/>
      <w:suff w:val="nothing"/>
      <w:lvlText w:val="%1．"/>
      <w:lvlJc w:val="left"/>
      <w:pPr>
        <w:ind w:left="0" w:firstLine="400"/>
      </w:pPr>
      <w:rPr>
        <w:rFonts w:hint="default"/>
      </w:rPr>
    </w:lvl>
  </w:abstractNum>
  <w:abstractNum w:abstractNumId="86">
    <w:nsid w:val="580EADBB"/>
    <w:multiLevelType w:val="singleLevel"/>
    <w:tmpl w:val="580EADBB"/>
    <w:lvl w:ilvl="0" w:tentative="0">
      <w:start w:val="1"/>
      <w:numFmt w:val="decimal"/>
      <w:suff w:val="space"/>
      <w:lvlText w:val="9.1.%1 "/>
      <w:lvlJc w:val="left"/>
      <w:pPr>
        <w:tabs>
          <w:tab w:val="left" w:pos="0"/>
        </w:tabs>
        <w:ind w:left="0" w:firstLine="0"/>
      </w:pPr>
      <w:rPr>
        <w:rFonts w:hint="default" w:ascii="Times New Roman" w:hAnsi="Times New Roman" w:eastAsia="宋体" w:cs="宋体"/>
        <w:b/>
        <w:sz w:val="24"/>
        <w:szCs w:val="24"/>
      </w:rPr>
    </w:lvl>
  </w:abstractNum>
  <w:abstractNum w:abstractNumId="87">
    <w:nsid w:val="612DA9D3"/>
    <w:multiLevelType w:val="singleLevel"/>
    <w:tmpl w:val="612DA9D3"/>
    <w:lvl w:ilvl="0" w:tentative="0">
      <w:start w:val="1"/>
      <w:numFmt w:val="decimal"/>
      <w:suff w:val="space"/>
      <w:lvlText w:val="7.0.%1 "/>
      <w:lvlJc w:val="left"/>
      <w:pPr>
        <w:tabs>
          <w:tab w:val="left" w:pos="0"/>
        </w:tabs>
        <w:ind w:left="0" w:firstLine="0"/>
      </w:pPr>
      <w:rPr>
        <w:rFonts w:hint="default" w:ascii="Times New Roman" w:hAnsi="Times New Roman" w:eastAsia="宋体" w:cs="宋体"/>
        <w:b/>
        <w:sz w:val="24"/>
        <w:szCs w:val="24"/>
      </w:rPr>
    </w:lvl>
  </w:abstractNum>
  <w:abstractNum w:abstractNumId="88">
    <w:nsid w:val="684F9E74"/>
    <w:multiLevelType w:val="singleLevel"/>
    <w:tmpl w:val="684F9E74"/>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89">
    <w:nsid w:val="6D2A3B3C"/>
    <w:multiLevelType w:val="singleLevel"/>
    <w:tmpl w:val="6D2A3B3C"/>
    <w:lvl w:ilvl="0" w:tentative="0">
      <w:start w:val="1"/>
      <w:numFmt w:val="decimal"/>
      <w:suff w:val="nothing"/>
      <w:lvlText w:val="%1．"/>
      <w:lvlJc w:val="left"/>
      <w:pPr>
        <w:ind w:left="0" w:firstLine="400"/>
      </w:pPr>
      <w:rPr>
        <w:rFonts w:hint="default"/>
      </w:rPr>
    </w:lvl>
  </w:abstractNum>
  <w:abstractNum w:abstractNumId="90">
    <w:nsid w:val="6D4C8546"/>
    <w:multiLevelType w:val="singleLevel"/>
    <w:tmpl w:val="6D4C8546"/>
    <w:lvl w:ilvl="0" w:tentative="0">
      <w:start w:val="1"/>
      <w:numFmt w:val="decimal"/>
      <w:suff w:val="nothing"/>
      <w:lvlText w:val="%1．"/>
      <w:lvlJc w:val="left"/>
      <w:pPr>
        <w:ind w:left="0" w:firstLine="400"/>
      </w:pPr>
      <w:rPr>
        <w:rFonts w:hint="default"/>
      </w:rPr>
    </w:lvl>
  </w:abstractNum>
  <w:abstractNum w:abstractNumId="91">
    <w:nsid w:val="724BC646"/>
    <w:multiLevelType w:val="singleLevel"/>
    <w:tmpl w:val="724BC646"/>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92">
    <w:nsid w:val="761E5F88"/>
    <w:multiLevelType w:val="singleLevel"/>
    <w:tmpl w:val="761E5F88"/>
    <w:lvl w:ilvl="0" w:tentative="0">
      <w:start w:val="1"/>
      <w:numFmt w:val="decimal"/>
      <w:suff w:val="space"/>
      <w:lvlText w:val="3.1.%1 "/>
      <w:lvlJc w:val="left"/>
      <w:pPr>
        <w:tabs>
          <w:tab w:val="left" w:pos="0"/>
        </w:tabs>
        <w:ind w:left="0" w:firstLine="0"/>
      </w:pPr>
      <w:rPr>
        <w:rFonts w:hint="default" w:ascii="Times New Roman" w:hAnsi="Times New Roman" w:eastAsia="宋体" w:cs="宋体"/>
        <w:b/>
        <w:sz w:val="24"/>
        <w:szCs w:val="24"/>
      </w:rPr>
    </w:lvl>
  </w:abstractNum>
  <w:abstractNum w:abstractNumId="93">
    <w:nsid w:val="768978EF"/>
    <w:multiLevelType w:val="singleLevel"/>
    <w:tmpl w:val="768978EF"/>
    <w:lvl w:ilvl="0" w:tentative="0">
      <w:start w:val="1"/>
      <w:numFmt w:val="decimal"/>
      <w:suff w:val="space"/>
      <w:lvlText w:val="%1 "/>
      <w:lvlJc w:val="left"/>
      <w:pPr>
        <w:tabs>
          <w:tab w:val="left" w:pos="0"/>
        </w:tabs>
        <w:ind w:left="0" w:firstLine="0"/>
      </w:pPr>
      <w:rPr>
        <w:rFonts w:hint="default" w:ascii="Times New Roman" w:hAnsi="Times New Roman" w:eastAsia="宋体" w:cs="宋体"/>
        <w:b/>
        <w:sz w:val="24"/>
        <w:szCs w:val="24"/>
      </w:rPr>
    </w:lvl>
  </w:abstractNum>
  <w:abstractNum w:abstractNumId="94">
    <w:nsid w:val="79F95BFB"/>
    <w:multiLevelType w:val="singleLevel"/>
    <w:tmpl w:val="79F95BFB"/>
    <w:lvl w:ilvl="0" w:tentative="0">
      <w:start w:val="1"/>
      <w:numFmt w:val="decimal"/>
      <w:suff w:val="space"/>
      <w:lvlText w:val="5.1.%1 "/>
      <w:lvlJc w:val="left"/>
      <w:pPr>
        <w:tabs>
          <w:tab w:val="left" w:pos="0"/>
        </w:tabs>
        <w:ind w:left="0" w:firstLine="0"/>
      </w:pPr>
      <w:rPr>
        <w:rFonts w:hint="default" w:ascii="Times New Roman" w:hAnsi="Times New Roman" w:eastAsia="宋体" w:cs="宋体"/>
        <w:b/>
        <w:sz w:val="24"/>
        <w:szCs w:val="24"/>
      </w:rPr>
    </w:lvl>
  </w:abstractNum>
  <w:abstractNum w:abstractNumId="95">
    <w:nsid w:val="7AFC86CF"/>
    <w:multiLevelType w:val="singleLevel"/>
    <w:tmpl w:val="7AFC86CF"/>
    <w:lvl w:ilvl="0" w:tentative="0">
      <w:start w:val="1"/>
      <w:numFmt w:val="decimal"/>
      <w:suff w:val="nothing"/>
      <w:lvlText w:val="%1．"/>
      <w:lvlJc w:val="left"/>
      <w:pPr>
        <w:ind w:left="0" w:firstLine="400"/>
      </w:pPr>
      <w:rPr>
        <w:rFonts w:hint="default"/>
      </w:rPr>
    </w:lvl>
  </w:abstractNum>
  <w:num w:numId="1">
    <w:abstractNumId w:val="51"/>
  </w:num>
  <w:num w:numId="2">
    <w:abstractNumId w:val="63"/>
  </w:num>
  <w:num w:numId="3">
    <w:abstractNumId w:val="80"/>
  </w:num>
  <w:num w:numId="4">
    <w:abstractNumId w:val="14"/>
  </w:num>
  <w:num w:numId="5">
    <w:abstractNumId w:val="50"/>
  </w:num>
  <w:num w:numId="6">
    <w:abstractNumId w:val="92"/>
  </w:num>
  <w:num w:numId="7">
    <w:abstractNumId w:val="5"/>
  </w:num>
  <w:num w:numId="8">
    <w:abstractNumId w:val="15"/>
  </w:num>
  <w:num w:numId="9">
    <w:abstractNumId w:val="33"/>
  </w:num>
  <w:num w:numId="10">
    <w:abstractNumId w:val="93"/>
  </w:num>
  <w:num w:numId="11">
    <w:abstractNumId w:val="78"/>
  </w:num>
  <w:num w:numId="12">
    <w:abstractNumId w:val="46"/>
  </w:num>
  <w:num w:numId="13">
    <w:abstractNumId w:val="19"/>
  </w:num>
  <w:num w:numId="14">
    <w:abstractNumId w:val="29"/>
  </w:num>
  <w:num w:numId="15">
    <w:abstractNumId w:val="67"/>
  </w:num>
  <w:num w:numId="16">
    <w:abstractNumId w:val="81"/>
  </w:num>
  <w:num w:numId="17">
    <w:abstractNumId w:val="3"/>
  </w:num>
  <w:num w:numId="18">
    <w:abstractNumId w:val="72"/>
  </w:num>
  <w:num w:numId="19">
    <w:abstractNumId w:val="44"/>
  </w:num>
  <w:num w:numId="20">
    <w:abstractNumId w:val="91"/>
  </w:num>
  <w:num w:numId="21">
    <w:abstractNumId w:val="65"/>
  </w:num>
  <w:num w:numId="22">
    <w:abstractNumId w:val="69"/>
  </w:num>
  <w:num w:numId="23">
    <w:abstractNumId w:val="94"/>
  </w:num>
  <w:num w:numId="24">
    <w:abstractNumId w:val="43"/>
  </w:num>
  <w:num w:numId="25">
    <w:abstractNumId w:val="30"/>
  </w:num>
  <w:num w:numId="26">
    <w:abstractNumId w:val="62"/>
  </w:num>
  <w:num w:numId="27">
    <w:abstractNumId w:val="18"/>
  </w:num>
  <w:num w:numId="28">
    <w:abstractNumId w:val="26"/>
  </w:num>
  <w:num w:numId="29">
    <w:abstractNumId w:val="4"/>
  </w:num>
  <w:num w:numId="30">
    <w:abstractNumId w:val="88"/>
  </w:num>
  <w:num w:numId="31">
    <w:abstractNumId w:val="39"/>
  </w:num>
  <w:num w:numId="32">
    <w:abstractNumId w:val="20"/>
  </w:num>
  <w:num w:numId="33">
    <w:abstractNumId w:val="87"/>
  </w:num>
  <w:num w:numId="34">
    <w:abstractNumId w:val="56"/>
  </w:num>
  <w:num w:numId="35">
    <w:abstractNumId w:val="47"/>
  </w:num>
  <w:num w:numId="36">
    <w:abstractNumId w:val="8"/>
  </w:num>
  <w:num w:numId="37">
    <w:abstractNumId w:val="25"/>
  </w:num>
  <w:num w:numId="38">
    <w:abstractNumId w:val="60"/>
  </w:num>
  <w:num w:numId="39">
    <w:abstractNumId w:val="23"/>
  </w:num>
  <w:num w:numId="40">
    <w:abstractNumId w:val="7"/>
  </w:num>
  <w:num w:numId="41">
    <w:abstractNumId w:val="1"/>
  </w:num>
  <w:num w:numId="42">
    <w:abstractNumId w:val="86"/>
  </w:num>
  <w:num w:numId="43">
    <w:abstractNumId w:val="17"/>
  </w:num>
  <w:num w:numId="44">
    <w:abstractNumId w:val="48"/>
  </w:num>
  <w:num w:numId="45">
    <w:abstractNumId w:val="55"/>
  </w:num>
  <w:num w:numId="46">
    <w:abstractNumId w:val="75"/>
  </w:num>
  <w:num w:numId="47">
    <w:abstractNumId w:val="31"/>
  </w:num>
  <w:num w:numId="48">
    <w:abstractNumId w:val="73"/>
  </w:num>
  <w:num w:numId="49">
    <w:abstractNumId w:val="79"/>
  </w:num>
  <w:num w:numId="50">
    <w:abstractNumId w:val="57"/>
  </w:num>
  <w:num w:numId="51">
    <w:abstractNumId w:val="83"/>
  </w:num>
  <w:num w:numId="52">
    <w:abstractNumId w:val="11"/>
  </w:num>
  <w:num w:numId="53">
    <w:abstractNumId w:val="41"/>
  </w:num>
  <w:num w:numId="54">
    <w:abstractNumId w:val="24"/>
  </w:num>
  <w:num w:numId="55">
    <w:abstractNumId w:val="32"/>
  </w:num>
  <w:num w:numId="56">
    <w:abstractNumId w:val="58"/>
  </w:num>
  <w:num w:numId="57">
    <w:abstractNumId w:val="68"/>
  </w:num>
  <w:num w:numId="58">
    <w:abstractNumId w:val="82"/>
  </w:num>
  <w:num w:numId="59">
    <w:abstractNumId w:val="16"/>
  </w:num>
  <w:num w:numId="60">
    <w:abstractNumId w:val="12"/>
  </w:num>
  <w:num w:numId="61">
    <w:abstractNumId w:val="89"/>
  </w:num>
  <w:num w:numId="62">
    <w:abstractNumId w:val="13"/>
  </w:num>
  <w:num w:numId="63">
    <w:abstractNumId w:val="37"/>
  </w:num>
  <w:num w:numId="64">
    <w:abstractNumId w:val="61"/>
  </w:num>
  <w:num w:numId="65">
    <w:abstractNumId w:val="36"/>
  </w:num>
  <w:num w:numId="66">
    <w:abstractNumId w:val="84"/>
  </w:num>
  <w:num w:numId="67">
    <w:abstractNumId w:val="85"/>
  </w:num>
  <w:num w:numId="68">
    <w:abstractNumId w:val="42"/>
  </w:num>
  <w:num w:numId="69">
    <w:abstractNumId w:val="35"/>
  </w:num>
  <w:num w:numId="70">
    <w:abstractNumId w:val="52"/>
  </w:num>
  <w:num w:numId="71">
    <w:abstractNumId w:val="40"/>
  </w:num>
  <w:num w:numId="72">
    <w:abstractNumId w:val="90"/>
  </w:num>
  <w:num w:numId="73">
    <w:abstractNumId w:val="45"/>
  </w:num>
  <w:num w:numId="74">
    <w:abstractNumId w:val="59"/>
  </w:num>
  <w:num w:numId="75">
    <w:abstractNumId w:val="27"/>
  </w:num>
  <w:num w:numId="76">
    <w:abstractNumId w:val="95"/>
  </w:num>
  <w:num w:numId="77">
    <w:abstractNumId w:val="74"/>
  </w:num>
  <w:num w:numId="78">
    <w:abstractNumId w:val="66"/>
  </w:num>
  <w:num w:numId="79">
    <w:abstractNumId w:val="22"/>
  </w:num>
  <w:num w:numId="80">
    <w:abstractNumId w:val="64"/>
  </w:num>
  <w:num w:numId="81">
    <w:abstractNumId w:val="70"/>
  </w:num>
  <w:num w:numId="82">
    <w:abstractNumId w:val="49"/>
  </w:num>
  <w:num w:numId="83">
    <w:abstractNumId w:val="0"/>
  </w:num>
  <w:num w:numId="84">
    <w:abstractNumId w:val="54"/>
  </w:num>
  <w:num w:numId="85">
    <w:abstractNumId w:val="9"/>
  </w:num>
  <w:num w:numId="86">
    <w:abstractNumId w:val="10"/>
  </w:num>
  <w:num w:numId="87">
    <w:abstractNumId w:val="28"/>
  </w:num>
  <w:num w:numId="88">
    <w:abstractNumId w:val="53"/>
  </w:num>
  <w:num w:numId="89">
    <w:abstractNumId w:val="38"/>
  </w:num>
  <w:num w:numId="90">
    <w:abstractNumId w:val="34"/>
  </w:num>
  <w:num w:numId="91">
    <w:abstractNumId w:val="71"/>
  </w:num>
  <w:num w:numId="92">
    <w:abstractNumId w:val="6"/>
  </w:num>
  <w:num w:numId="9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2"/>
  </w:num>
  <w:num w:numId="95">
    <w:abstractNumId w:val="77"/>
  </w:num>
  <w:num w:numId="96">
    <w:abstractNumId w:val="76"/>
  </w:num>
  <w:num w:numId="9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F90"/>
    <w:rsid w:val="000001FF"/>
    <w:rsid w:val="000079CD"/>
    <w:rsid w:val="0001177C"/>
    <w:rsid w:val="0001190F"/>
    <w:rsid w:val="00011EFE"/>
    <w:rsid w:val="00012D09"/>
    <w:rsid w:val="00013882"/>
    <w:rsid w:val="0001390D"/>
    <w:rsid w:val="000143A5"/>
    <w:rsid w:val="000155B2"/>
    <w:rsid w:val="00015F00"/>
    <w:rsid w:val="000200A4"/>
    <w:rsid w:val="00020C0B"/>
    <w:rsid w:val="00021AD1"/>
    <w:rsid w:val="0002383F"/>
    <w:rsid w:val="00023B1B"/>
    <w:rsid w:val="00024577"/>
    <w:rsid w:val="000246BC"/>
    <w:rsid w:val="00024A33"/>
    <w:rsid w:val="0002537C"/>
    <w:rsid w:val="000258FD"/>
    <w:rsid w:val="00025A6B"/>
    <w:rsid w:val="00026B90"/>
    <w:rsid w:val="00027E28"/>
    <w:rsid w:val="00030D1C"/>
    <w:rsid w:val="00033744"/>
    <w:rsid w:val="000370B9"/>
    <w:rsid w:val="0003719C"/>
    <w:rsid w:val="00037254"/>
    <w:rsid w:val="00040620"/>
    <w:rsid w:val="00041145"/>
    <w:rsid w:val="000411EB"/>
    <w:rsid w:val="00041316"/>
    <w:rsid w:val="00041A3D"/>
    <w:rsid w:val="00041BEC"/>
    <w:rsid w:val="000426F2"/>
    <w:rsid w:val="000443B1"/>
    <w:rsid w:val="00044FD1"/>
    <w:rsid w:val="00045ECF"/>
    <w:rsid w:val="00046496"/>
    <w:rsid w:val="00046AB8"/>
    <w:rsid w:val="00047272"/>
    <w:rsid w:val="00050286"/>
    <w:rsid w:val="00051631"/>
    <w:rsid w:val="00051D31"/>
    <w:rsid w:val="00051EF5"/>
    <w:rsid w:val="0005211B"/>
    <w:rsid w:val="00053E4B"/>
    <w:rsid w:val="000558A7"/>
    <w:rsid w:val="000567DE"/>
    <w:rsid w:val="000623C5"/>
    <w:rsid w:val="000625A4"/>
    <w:rsid w:val="00062713"/>
    <w:rsid w:val="00064FD8"/>
    <w:rsid w:val="00065334"/>
    <w:rsid w:val="00065F51"/>
    <w:rsid w:val="00071704"/>
    <w:rsid w:val="00071988"/>
    <w:rsid w:val="000721C9"/>
    <w:rsid w:val="0007333B"/>
    <w:rsid w:val="00073A87"/>
    <w:rsid w:val="000752F2"/>
    <w:rsid w:val="00075709"/>
    <w:rsid w:val="00075B7C"/>
    <w:rsid w:val="00076C1B"/>
    <w:rsid w:val="000772F4"/>
    <w:rsid w:val="000815FF"/>
    <w:rsid w:val="00081CF5"/>
    <w:rsid w:val="00082358"/>
    <w:rsid w:val="000849BB"/>
    <w:rsid w:val="00085DF8"/>
    <w:rsid w:val="00085F90"/>
    <w:rsid w:val="0008612F"/>
    <w:rsid w:val="000877AC"/>
    <w:rsid w:val="00090FBB"/>
    <w:rsid w:val="00092B76"/>
    <w:rsid w:val="0009323C"/>
    <w:rsid w:val="000933F7"/>
    <w:rsid w:val="00093FB4"/>
    <w:rsid w:val="0009541C"/>
    <w:rsid w:val="0009592B"/>
    <w:rsid w:val="00096D63"/>
    <w:rsid w:val="00097820"/>
    <w:rsid w:val="00097EF6"/>
    <w:rsid w:val="000A10FC"/>
    <w:rsid w:val="000A1231"/>
    <w:rsid w:val="000A160F"/>
    <w:rsid w:val="000A3B40"/>
    <w:rsid w:val="000A4AD4"/>
    <w:rsid w:val="000A5B89"/>
    <w:rsid w:val="000A6E3C"/>
    <w:rsid w:val="000A740D"/>
    <w:rsid w:val="000A7834"/>
    <w:rsid w:val="000A7DFE"/>
    <w:rsid w:val="000B0BA3"/>
    <w:rsid w:val="000B18E6"/>
    <w:rsid w:val="000B38FE"/>
    <w:rsid w:val="000B45EE"/>
    <w:rsid w:val="000B5CF9"/>
    <w:rsid w:val="000B7200"/>
    <w:rsid w:val="000C1C12"/>
    <w:rsid w:val="000C22D9"/>
    <w:rsid w:val="000C2E33"/>
    <w:rsid w:val="000C51FF"/>
    <w:rsid w:val="000C5E30"/>
    <w:rsid w:val="000C64FD"/>
    <w:rsid w:val="000C6A8A"/>
    <w:rsid w:val="000C7C0A"/>
    <w:rsid w:val="000D00F3"/>
    <w:rsid w:val="000D03CE"/>
    <w:rsid w:val="000D0ADF"/>
    <w:rsid w:val="000D115A"/>
    <w:rsid w:val="000D196A"/>
    <w:rsid w:val="000D1C32"/>
    <w:rsid w:val="000D2C16"/>
    <w:rsid w:val="000D2E74"/>
    <w:rsid w:val="000D341B"/>
    <w:rsid w:val="000D3859"/>
    <w:rsid w:val="000D4360"/>
    <w:rsid w:val="000D5F74"/>
    <w:rsid w:val="000D7191"/>
    <w:rsid w:val="000D7B23"/>
    <w:rsid w:val="000E10DE"/>
    <w:rsid w:val="000E3456"/>
    <w:rsid w:val="000E3DE8"/>
    <w:rsid w:val="000E448D"/>
    <w:rsid w:val="000E4C38"/>
    <w:rsid w:val="000E4F71"/>
    <w:rsid w:val="000E66C9"/>
    <w:rsid w:val="000F0B46"/>
    <w:rsid w:val="000F2250"/>
    <w:rsid w:val="000F33FC"/>
    <w:rsid w:val="000F3C2A"/>
    <w:rsid w:val="000F4F27"/>
    <w:rsid w:val="000F6A18"/>
    <w:rsid w:val="000F6B6E"/>
    <w:rsid w:val="000F748B"/>
    <w:rsid w:val="000F7C26"/>
    <w:rsid w:val="001004E1"/>
    <w:rsid w:val="0010326F"/>
    <w:rsid w:val="00103B12"/>
    <w:rsid w:val="00105092"/>
    <w:rsid w:val="001051E7"/>
    <w:rsid w:val="001057DC"/>
    <w:rsid w:val="00105981"/>
    <w:rsid w:val="00105A27"/>
    <w:rsid w:val="00106CDA"/>
    <w:rsid w:val="00110192"/>
    <w:rsid w:val="00110DB9"/>
    <w:rsid w:val="00111E15"/>
    <w:rsid w:val="001135EC"/>
    <w:rsid w:val="00113D03"/>
    <w:rsid w:val="0011455C"/>
    <w:rsid w:val="001174E0"/>
    <w:rsid w:val="0011771A"/>
    <w:rsid w:val="001178EB"/>
    <w:rsid w:val="001179C9"/>
    <w:rsid w:val="00120661"/>
    <w:rsid w:val="00120683"/>
    <w:rsid w:val="00120CF0"/>
    <w:rsid w:val="00122F24"/>
    <w:rsid w:val="00122FAA"/>
    <w:rsid w:val="001241C1"/>
    <w:rsid w:val="00124CCE"/>
    <w:rsid w:val="00126859"/>
    <w:rsid w:val="00127082"/>
    <w:rsid w:val="00130165"/>
    <w:rsid w:val="00131191"/>
    <w:rsid w:val="001321A1"/>
    <w:rsid w:val="001326EC"/>
    <w:rsid w:val="001329EF"/>
    <w:rsid w:val="0013456B"/>
    <w:rsid w:val="00134DB6"/>
    <w:rsid w:val="00137E6E"/>
    <w:rsid w:val="001413DE"/>
    <w:rsid w:val="00141B3B"/>
    <w:rsid w:val="0014336B"/>
    <w:rsid w:val="001441AF"/>
    <w:rsid w:val="00144B61"/>
    <w:rsid w:val="00146205"/>
    <w:rsid w:val="00150840"/>
    <w:rsid w:val="00150FB7"/>
    <w:rsid w:val="001512B9"/>
    <w:rsid w:val="00151751"/>
    <w:rsid w:val="001517E3"/>
    <w:rsid w:val="00152D09"/>
    <w:rsid w:val="001551BC"/>
    <w:rsid w:val="00156B19"/>
    <w:rsid w:val="0015712F"/>
    <w:rsid w:val="0016209B"/>
    <w:rsid w:val="00162AC8"/>
    <w:rsid w:val="001635E6"/>
    <w:rsid w:val="00167606"/>
    <w:rsid w:val="00167F2A"/>
    <w:rsid w:val="00167F9F"/>
    <w:rsid w:val="00170DEA"/>
    <w:rsid w:val="001718A8"/>
    <w:rsid w:val="00171A04"/>
    <w:rsid w:val="001745F7"/>
    <w:rsid w:val="00174614"/>
    <w:rsid w:val="00176334"/>
    <w:rsid w:val="00176657"/>
    <w:rsid w:val="00177680"/>
    <w:rsid w:val="00181B78"/>
    <w:rsid w:val="00181D18"/>
    <w:rsid w:val="001828A5"/>
    <w:rsid w:val="001837CE"/>
    <w:rsid w:val="00184070"/>
    <w:rsid w:val="001853E7"/>
    <w:rsid w:val="00185D19"/>
    <w:rsid w:val="00186597"/>
    <w:rsid w:val="00187EA0"/>
    <w:rsid w:val="001909C9"/>
    <w:rsid w:val="001915B4"/>
    <w:rsid w:val="00191EBD"/>
    <w:rsid w:val="0019219B"/>
    <w:rsid w:val="00192E52"/>
    <w:rsid w:val="0019514D"/>
    <w:rsid w:val="00196D8E"/>
    <w:rsid w:val="001973EE"/>
    <w:rsid w:val="001A0B0E"/>
    <w:rsid w:val="001A1A2A"/>
    <w:rsid w:val="001A31EB"/>
    <w:rsid w:val="001A45DE"/>
    <w:rsid w:val="001A4C43"/>
    <w:rsid w:val="001A576C"/>
    <w:rsid w:val="001A57B3"/>
    <w:rsid w:val="001A633C"/>
    <w:rsid w:val="001A7E0E"/>
    <w:rsid w:val="001B0992"/>
    <w:rsid w:val="001B296A"/>
    <w:rsid w:val="001B528C"/>
    <w:rsid w:val="001B59DB"/>
    <w:rsid w:val="001B5E03"/>
    <w:rsid w:val="001B6985"/>
    <w:rsid w:val="001B6F21"/>
    <w:rsid w:val="001B7C1B"/>
    <w:rsid w:val="001C03E6"/>
    <w:rsid w:val="001C28B8"/>
    <w:rsid w:val="001C299C"/>
    <w:rsid w:val="001C4C78"/>
    <w:rsid w:val="001C7686"/>
    <w:rsid w:val="001C7C4E"/>
    <w:rsid w:val="001D1E62"/>
    <w:rsid w:val="001D3E0E"/>
    <w:rsid w:val="001D45EB"/>
    <w:rsid w:val="001D4D1E"/>
    <w:rsid w:val="001D51DB"/>
    <w:rsid w:val="001D766C"/>
    <w:rsid w:val="001D7915"/>
    <w:rsid w:val="001D7E06"/>
    <w:rsid w:val="001D7EE0"/>
    <w:rsid w:val="001E1D01"/>
    <w:rsid w:val="001E25EE"/>
    <w:rsid w:val="001E660E"/>
    <w:rsid w:val="001F1627"/>
    <w:rsid w:val="001F1B9A"/>
    <w:rsid w:val="001F2FEA"/>
    <w:rsid w:val="001F3381"/>
    <w:rsid w:val="001F3937"/>
    <w:rsid w:val="001F3CFA"/>
    <w:rsid w:val="001F452C"/>
    <w:rsid w:val="001F59E0"/>
    <w:rsid w:val="002007CC"/>
    <w:rsid w:val="00200E0E"/>
    <w:rsid w:val="00202380"/>
    <w:rsid w:val="00202EBB"/>
    <w:rsid w:val="0020356F"/>
    <w:rsid w:val="00206340"/>
    <w:rsid w:val="0021189E"/>
    <w:rsid w:val="00212BA9"/>
    <w:rsid w:val="00212E2B"/>
    <w:rsid w:val="0021307A"/>
    <w:rsid w:val="00214584"/>
    <w:rsid w:val="00216862"/>
    <w:rsid w:val="00217013"/>
    <w:rsid w:val="002217A9"/>
    <w:rsid w:val="0022236C"/>
    <w:rsid w:val="00225DF4"/>
    <w:rsid w:val="0022616F"/>
    <w:rsid w:val="0023154B"/>
    <w:rsid w:val="002344F4"/>
    <w:rsid w:val="0023482A"/>
    <w:rsid w:val="00237C1D"/>
    <w:rsid w:val="00241E7D"/>
    <w:rsid w:val="0024264A"/>
    <w:rsid w:val="00245381"/>
    <w:rsid w:val="00245BB7"/>
    <w:rsid w:val="00245DA9"/>
    <w:rsid w:val="00245F3D"/>
    <w:rsid w:val="0024620F"/>
    <w:rsid w:val="00250215"/>
    <w:rsid w:val="00250787"/>
    <w:rsid w:val="00250CE6"/>
    <w:rsid w:val="00250FC8"/>
    <w:rsid w:val="002526CC"/>
    <w:rsid w:val="00252EF2"/>
    <w:rsid w:val="002542B2"/>
    <w:rsid w:val="00255510"/>
    <w:rsid w:val="0025582B"/>
    <w:rsid w:val="00260500"/>
    <w:rsid w:val="0026086C"/>
    <w:rsid w:val="00261BEB"/>
    <w:rsid w:val="0026314E"/>
    <w:rsid w:val="00264430"/>
    <w:rsid w:val="00264E20"/>
    <w:rsid w:val="00265113"/>
    <w:rsid w:val="002668CC"/>
    <w:rsid w:val="0027251A"/>
    <w:rsid w:val="00273337"/>
    <w:rsid w:val="00276908"/>
    <w:rsid w:val="00276C07"/>
    <w:rsid w:val="002770F4"/>
    <w:rsid w:val="002801EB"/>
    <w:rsid w:val="002819E3"/>
    <w:rsid w:val="00282134"/>
    <w:rsid w:val="0028338C"/>
    <w:rsid w:val="00283FB3"/>
    <w:rsid w:val="00285102"/>
    <w:rsid w:val="002874D7"/>
    <w:rsid w:val="00290131"/>
    <w:rsid w:val="0029095B"/>
    <w:rsid w:val="002925E1"/>
    <w:rsid w:val="00292766"/>
    <w:rsid w:val="00292883"/>
    <w:rsid w:val="002947C8"/>
    <w:rsid w:val="00295337"/>
    <w:rsid w:val="0029558D"/>
    <w:rsid w:val="002A16F7"/>
    <w:rsid w:val="002A321E"/>
    <w:rsid w:val="002A3C38"/>
    <w:rsid w:val="002B11BA"/>
    <w:rsid w:val="002B4A19"/>
    <w:rsid w:val="002B582F"/>
    <w:rsid w:val="002B589F"/>
    <w:rsid w:val="002B6074"/>
    <w:rsid w:val="002B65FA"/>
    <w:rsid w:val="002C01AF"/>
    <w:rsid w:val="002C1657"/>
    <w:rsid w:val="002C3074"/>
    <w:rsid w:val="002C40AF"/>
    <w:rsid w:val="002C4B4B"/>
    <w:rsid w:val="002D0A7C"/>
    <w:rsid w:val="002D172B"/>
    <w:rsid w:val="002D3884"/>
    <w:rsid w:val="002D4C6E"/>
    <w:rsid w:val="002D546C"/>
    <w:rsid w:val="002D6137"/>
    <w:rsid w:val="002E0AC4"/>
    <w:rsid w:val="002E0FA7"/>
    <w:rsid w:val="002E2211"/>
    <w:rsid w:val="002E23F4"/>
    <w:rsid w:val="002E37B4"/>
    <w:rsid w:val="002E5752"/>
    <w:rsid w:val="002E617F"/>
    <w:rsid w:val="002E6447"/>
    <w:rsid w:val="002E6DAA"/>
    <w:rsid w:val="002F069A"/>
    <w:rsid w:val="002F1A0A"/>
    <w:rsid w:val="002F1C52"/>
    <w:rsid w:val="002F1EEB"/>
    <w:rsid w:val="002F23BA"/>
    <w:rsid w:val="002F23F0"/>
    <w:rsid w:val="002F319D"/>
    <w:rsid w:val="002F36DF"/>
    <w:rsid w:val="002F4C38"/>
    <w:rsid w:val="002F4C4E"/>
    <w:rsid w:val="002F4D15"/>
    <w:rsid w:val="002F71BB"/>
    <w:rsid w:val="002F77EF"/>
    <w:rsid w:val="003019EF"/>
    <w:rsid w:val="00302CCE"/>
    <w:rsid w:val="0030308E"/>
    <w:rsid w:val="00307E8D"/>
    <w:rsid w:val="00307F67"/>
    <w:rsid w:val="00310395"/>
    <w:rsid w:val="00310922"/>
    <w:rsid w:val="0031290B"/>
    <w:rsid w:val="003129DE"/>
    <w:rsid w:val="00313207"/>
    <w:rsid w:val="003142D4"/>
    <w:rsid w:val="0031574E"/>
    <w:rsid w:val="00315B0B"/>
    <w:rsid w:val="0031720C"/>
    <w:rsid w:val="0031785B"/>
    <w:rsid w:val="00321703"/>
    <w:rsid w:val="00321D18"/>
    <w:rsid w:val="00321FF6"/>
    <w:rsid w:val="00322090"/>
    <w:rsid w:val="00322353"/>
    <w:rsid w:val="003230D8"/>
    <w:rsid w:val="00323196"/>
    <w:rsid w:val="00324AAE"/>
    <w:rsid w:val="00325BE8"/>
    <w:rsid w:val="0032607A"/>
    <w:rsid w:val="00326654"/>
    <w:rsid w:val="0033086E"/>
    <w:rsid w:val="003310DD"/>
    <w:rsid w:val="00331D11"/>
    <w:rsid w:val="003322FD"/>
    <w:rsid w:val="00334104"/>
    <w:rsid w:val="0033517C"/>
    <w:rsid w:val="0033607D"/>
    <w:rsid w:val="00336B24"/>
    <w:rsid w:val="0034049C"/>
    <w:rsid w:val="00342E5D"/>
    <w:rsid w:val="0034360A"/>
    <w:rsid w:val="003442A7"/>
    <w:rsid w:val="003442EA"/>
    <w:rsid w:val="003450F7"/>
    <w:rsid w:val="00347015"/>
    <w:rsid w:val="003504D1"/>
    <w:rsid w:val="003511C6"/>
    <w:rsid w:val="00352A8D"/>
    <w:rsid w:val="003561A1"/>
    <w:rsid w:val="00357627"/>
    <w:rsid w:val="00360698"/>
    <w:rsid w:val="0036076D"/>
    <w:rsid w:val="003640A0"/>
    <w:rsid w:val="003645BE"/>
    <w:rsid w:val="0036487D"/>
    <w:rsid w:val="00364895"/>
    <w:rsid w:val="00364C3A"/>
    <w:rsid w:val="00365022"/>
    <w:rsid w:val="00366097"/>
    <w:rsid w:val="0037048D"/>
    <w:rsid w:val="00370CC4"/>
    <w:rsid w:val="00372D62"/>
    <w:rsid w:val="00373345"/>
    <w:rsid w:val="00374B81"/>
    <w:rsid w:val="0037588E"/>
    <w:rsid w:val="00375C84"/>
    <w:rsid w:val="00376176"/>
    <w:rsid w:val="00376B4C"/>
    <w:rsid w:val="00376F84"/>
    <w:rsid w:val="00377645"/>
    <w:rsid w:val="003778A5"/>
    <w:rsid w:val="00380286"/>
    <w:rsid w:val="00380699"/>
    <w:rsid w:val="0038098B"/>
    <w:rsid w:val="003809D9"/>
    <w:rsid w:val="003811BB"/>
    <w:rsid w:val="0038130F"/>
    <w:rsid w:val="00381768"/>
    <w:rsid w:val="0038210C"/>
    <w:rsid w:val="00387CB8"/>
    <w:rsid w:val="0039283D"/>
    <w:rsid w:val="003947A3"/>
    <w:rsid w:val="00395D46"/>
    <w:rsid w:val="00395DE1"/>
    <w:rsid w:val="003973E8"/>
    <w:rsid w:val="003975E7"/>
    <w:rsid w:val="00397E23"/>
    <w:rsid w:val="003A1D6C"/>
    <w:rsid w:val="003A2E0E"/>
    <w:rsid w:val="003A3329"/>
    <w:rsid w:val="003A441B"/>
    <w:rsid w:val="003A4C50"/>
    <w:rsid w:val="003A72B5"/>
    <w:rsid w:val="003A7483"/>
    <w:rsid w:val="003A7701"/>
    <w:rsid w:val="003B027F"/>
    <w:rsid w:val="003B18B6"/>
    <w:rsid w:val="003B2223"/>
    <w:rsid w:val="003B3001"/>
    <w:rsid w:val="003B3F0B"/>
    <w:rsid w:val="003B775A"/>
    <w:rsid w:val="003C029E"/>
    <w:rsid w:val="003C0325"/>
    <w:rsid w:val="003C0B63"/>
    <w:rsid w:val="003C0CD3"/>
    <w:rsid w:val="003C1C49"/>
    <w:rsid w:val="003C2E5B"/>
    <w:rsid w:val="003C40C7"/>
    <w:rsid w:val="003C463D"/>
    <w:rsid w:val="003C5148"/>
    <w:rsid w:val="003C534F"/>
    <w:rsid w:val="003C6B72"/>
    <w:rsid w:val="003C7CA3"/>
    <w:rsid w:val="003D2525"/>
    <w:rsid w:val="003D3BE1"/>
    <w:rsid w:val="003D3FA6"/>
    <w:rsid w:val="003D4BAC"/>
    <w:rsid w:val="003D5D85"/>
    <w:rsid w:val="003D72FE"/>
    <w:rsid w:val="003E15E1"/>
    <w:rsid w:val="003E1B38"/>
    <w:rsid w:val="003E3421"/>
    <w:rsid w:val="003E364B"/>
    <w:rsid w:val="003E3C45"/>
    <w:rsid w:val="003E3C9B"/>
    <w:rsid w:val="003E403D"/>
    <w:rsid w:val="003E40D9"/>
    <w:rsid w:val="003E4363"/>
    <w:rsid w:val="003E4472"/>
    <w:rsid w:val="003E6BBF"/>
    <w:rsid w:val="003E6C07"/>
    <w:rsid w:val="003E6C13"/>
    <w:rsid w:val="003F3D39"/>
    <w:rsid w:val="003F4AB4"/>
    <w:rsid w:val="003F7345"/>
    <w:rsid w:val="00401B1C"/>
    <w:rsid w:val="004028B3"/>
    <w:rsid w:val="004031E2"/>
    <w:rsid w:val="00404B30"/>
    <w:rsid w:val="00405BF9"/>
    <w:rsid w:val="004068C2"/>
    <w:rsid w:val="0040755C"/>
    <w:rsid w:val="00407811"/>
    <w:rsid w:val="00407FEF"/>
    <w:rsid w:val="00410C37"/>
    <w:rsid w:val="00411C52"/>
    <w:rsid w:val="00413540"/>
    <w:rsid w:val="00413DC6"/>
    <w:rsid w:val="00414DE7"/>
    <w:rsid w:val="004152F2"/>
    <w:rsid w:val="004156D3"/>
    <w:rsid w:val="004157AC"/>
    <w:rsid w:val="00415B50"/>
    <w:rsid w:val="00416881"/>
    <w:rsid w:val="00416DCC"/>
    <w:rsid w:val="00420BAB"/>
    <w:rsid w:val="00421080"/>
    <w:rsid w:val="0042177F"/>
    <w:rsid w:val="0042212D"/>
    <w:rsid w:val="00422D58"/>
    <w:rsid w:val="004250DF"/>
    <w:rsid w:val="004266B5"/>
    <w:rsid w:val="00426B6C"/>
    <w:rsid w:val="00426F79"/>
    <w:rsid w:val="00427510"/>
    <w:rsid w:val="004304FD"/>
    <w:rsid w:val="004338A9"/>
    <w:rsid w:val="004344F0"/>
    <w:rsid w:val="00436048"/>
    <w:rsid w:val="00436405"/>
    <w:rsid w:val="00436553"/>
    <w:rsid w:val="004372A7"/>
    <w:rsid w:val="0043793C"/>
    <w:rsid w:val="00437B88"/>
    <w:rsid w:val="00437C6E"/>
    <w:rsid w:val="00437F40"/>
    <w:rsid w:val="00440875"/>
    <w:rsid w:val="00440C05"/>
    <w:rsid w:val="00441680"/>
    <w:rsid w:val="00441A19"/>
    <w:rsid w:val="0044201E"/>
    <w:rsid w:val="004431D4"/>
    <w:rsid w:val="00444EF4"/>
    <w:rsid w:val="0044548D"/>
    <w:rsid w:val="00447C2B"/>
    <w:rsid w:val="00450893"/>
    <w:rsid w:val="00450BB8"/>
    <w:rsid w:val="00451243"/>
    <w:rsid w:val="00451534"/>
    <w:rsid w:val="00461C03"/>
    <w:rsid w:val="004628CD"/>
    <w:rsid w:val="00462ADA"/>
    <w:rsid w:val="00463F4B"/>
    <w:rsid w:val="00464046"/>
    <w:rsid w:val="0046510A"/>
    <w:rsid w:val="00465D72"/>
    <w:rsid w:val="00466181"/>
    <w:rsid w:val="00467E77"/>
    <w:rsid w:val="004704FB"/>
    <w:rsid w:val="00471A50"/>
    <w:rsid w:val="0047256B"/>
    <w:rsid w:val="00473E41"/>
    <w:rsid w:val="00474955"/>
    <w:rsid w:val="00474E0F"/>
    <w:rsid w:val="00475BFD"/>
    <w:rsid w:val="004767B1"/>
    <w:rsid w:val="00477794"/>
    <w:rsid w:val="00477E33"/>
    <w:rsid w:val="004804C3"/>
    <w:rsid w:val="00480588"/>
    <w:rsid w:val="00481D62"/>
    <w:rsid w:val="004824C2"/>
    <w:rsid w:val="0048347E"/>
    <w:rsid w:val="004840E6"/>
    <w:rsid w:val="004843AC"/>
    <w:rsid w:val="0048475E"/>
    <w:rsid w:val="00485612"/>
    <w:rsid w:val="00486AD9"/>
    <w:rsid w:val="00486B07"/>
    <w:rsid w:val="00491634"/>
    <w:rsid w:val="00492E0C"/>
    <w:rsid w:val="004940F4"/>
    <w:rsid w:val="004941CE"/>
    <w:rsid w:val="004946F6"/>
    <w:rsid w:val="00497042"/>
    <w:rsid w:val="004A05E0"/>
    <w:rsid w:val="004A151A"/>
    <w:rsid w:val="004A1E08"/>
    <w:rsid w:val="004A31BF"/>
    <w:rsid w:val="004A376B"/>
    <w:rsid w:val="004A39EA"/>
    <w:rsid w:val="004A3E46"/>
    <w:rsid w:val="004A4378"/>
    <w:rsid w:val="004A5F05"/>
    <w:rsid w:val="004A6D8A"/>
    <w:rsid w:val="004B16D4"/>
    <w:rsid w:val="004B2D74"/>
    <w:rsid w:val="004B596E"/>
    <w:rsid w:val="004B5A26"/>
    <w:rsid w:val="004B685B"/>
    <w:rsid w:val="004B6BEA"/>
    <w:rsid w:val="004C0509"/>
    <w:rsid w:val="004C0B02"/>
    <w:rsid w:val="004C0BB2"/>
    <w:rsid w:val="004C24D8"/>
    <w:rsid w:val="004C39AE"/>
    <w:rsid w:val="004C70DE"/>
    <w:rsid w:val="004D1862"/>
    <w:rsid w:val="004D2687"/>
    <w:rsid w:val="004D2B40"/>
    <w:rsid w:val="004D2C2C"/>
    <w:rsid w:val="004D2F36"/>
    <w:rsid w:val="004D4FF9"/>
    <w:rsid w:val="004D6226"/>
    <w:rsid w:val="004D63DC"/>
    <w:rsid w:val="004D703E"/>
    <w:rsid w:val="004D7D5A"/>
    <w:rsid w:val="004E0DF0"/>
    <w:rsid w:val="004E6A28"/>
    <w:rsid w:val="004E7A98"/>
    <w:rsid w:val="004F05B7"/>
    <w:rsid w:val="004F0690"/>
    <w:rsid w:val="004F0C3E"/>
    <w:rsid w:val="004F2880"/>
    <w:rsid w:val="004F3541"/>
    <w:rsid w:val="004F4034"/>
    <w:rsid w:val="004F4C6D"/>
    <w:rsid w:val="004F4C7C"/>
    <w:rsid w:val="004F4D15"/>
    <w:rsid w:val="004F6396"/>
    <w:rsid w:val="004F6F8C"/>
    <w:rsid w:val="00500A11"/>
    <w:rsid w:val="00501D54"/>
    <w:rsid w:val="00503C00"/>
    <w:rsid w:val="0050403D"/>
    <w:rsid w:val="00504F13"/>
    <w:rsid w:val="00505A21"/>
    <w:rsid w:val="00510DF1"/>
    <w:rsid w:val="00513171"/>
    <w:rsid w:val="00513BBF"/>
    <w:rsid w:val="00515465"/>
    <w:rsid w:val="00515E75"/>
    <w:rsid w:val="00516883"/>
    <w:rsid w:val="0052130D"/>
    <w:rsid w:val="00521CB7"/>
    <w:rsid w:val="00522269"/>
    <w:rsid w:val="00522716"/>
    <w:rsid w:val="00522EDA"/>
    <w:rsid w:val="005235C0"/>
    <w:rsid w:val="00523F01"/>
    <w:rsid w:val="00524DED"/>
    <w:rsid w:val="00526014"/>
    <w:rsid w:val="00526D88"/>
    <w:rsid w:val="00527516"/>
    <w:rsid w:val="005276A9"/>
    <w:rsid w:val="005320C0"/>
    <w:rsid w:val="0053290E"/>
    <w:rsid w:val="00532CB1"/>
    <w:rsid w:val="00535B2B"/>
    <w:rsid w:val="00536EE6"/>
    <w:rsid w:val="00540385"/>
    <w:rsid w:val="005438E3"/>
    <w:rsid w:val="00544257"/>
    <w:rsid w:val="005446FD"/>
    <w:rsid w:val="00544D72"/>
    <w:rsid w:val="00546875"/>
    <w:rsid w:val="00546B61"/>
    <w:rsid w:val="00551C3C"/>
    <w:rsid w:val="00552DA8"/>
    <w:rsid w:val="00553410"/>
    <w:rsid w:val="00554A8B"/>
    <w:rsid w:val="00555B7F"/>
    <w:rsid w:val="00555CC3"/>
    <w:rsid w:val="005560F6"/>
    <w:rsid w:val="00557AF9"/>
    <w:rsid w:val="00560D50"/>
    <w:rsid w:val="00560E92"/>
    <w:rsid w:val="00561B5E"/>
    <w:rsid w:val="00562E6A"/>
    <w:rsid w:val="005647B8"/>
    <w:rsid w:val="00565351"/>
    <w:rsid w:val="00565838"/>
    <w:rsid w:val="00566DA0"/>
    <w:rsid w:val="00567A4D"/>
    <w:rsid w:val="005710E3"/>
    <w:rsid w:val="0057281B"/>
    <w:rsid w:val="0057293A"/>
    <w:rsid w:val="00572CCB"/>
    <w:rsid w:val="00575270"/>
    <w:rsid w:val="00575D22"/>
    <w:rsid w:val="0057758B"/>
    <w:rsid w:val="00580751"/>
    <w:rsid w:val="005815A0"/>
    <w:rsid w:val="00582A07"/>
    <w:rsid w:val="00582EC1"/>
    <w:rsid w:val="005846EE"/>
    <w:rsid w:val="005854B6"/>
    <w:rsid w:val="00585890"/>
    <w:rsid w:val="00585F4A"/>
    <w:rsid w:val="00586FCD"/>
    <w:rsid w:val="00587D9A"/>
    <w:rsid w:val="00590867"/>
    <w:rsid w:val="00591E8B"/>
    <w:rsid w:val="00593566"/>
    <w:rsid w:val="00593ABA"/>
    <w:rsid w:val="0059414E"/>
    <w:rsid w:val="00595721"/>
    <w:rsid w:val="00595C59"/>
    <w:rsid w:val="00596277"/>
    <w:rsid w:val="005A04FD"/>
    <w:rsid w:val="005A13FC"/>
    <w:rsid w:val="005A2EA0"/>
    <w:rsid w:val="005A38D2"/>
    <w:rsid w:val="005A4539"/>
    <w:rsid w:val="005A5517"/>
    <w:rsid w:val="005A5E3B"/>
    <w:rsid w:val="005A6B55"/>
    <w:rsid w:val="005A71FA"/>
    <w:rsid w:val="005B24DE"/>
    <w:rsid w:val="005B4D10"/>
    <w:rsid w:val="005B4D5C"/>
    <w:rsid w:val="005B5397"/>
    <w:rsid w:val="005B53B8"/>
    <w:rsid w:val="005B62EA"/>
    <w:rsid w:val="005B6D69"/>
    <w:rsid w:val="005B6DDD"/>
    <w:rsid w:val="005B746C"/>
    <w:rsid w:val="005B7BE6"/>
    <w:rsid w:val="005C0415"/>
    <w:rsid w:val="005C20C5"/>
    <w:rsid w:val="005C2121"/>
    <w:rsid w:val="005C3308"/>
    <w:rsid w:val="005C3439"/>
    <w:rsid w:val="005C55DE"/>
    <w:rsid w:val="005C5CDD"/>
    <w:rsid w:val="005C611E"/>
    <w:rsid w:val="005C67F9"/>
    <w:rsid w:val="005C78E6"/>
    <w:rsid w:val="005C7BD5"/>
    <w:rsid w:val="005D082A"/>
    <w:rsid w:val="005D1EF4"/>
    <w:rsid w:val="005D3502"/>
    <w:rsid w:val="005D3786"/>
    <w:rsid w:val="005D48EC"/>
    <w:rsid w:val="005D4E1A"/>
    <w:rsid w:val="005D546B"/>
    <w:rsid w:val="005D5A27"/>
    <w:rsid w:val="005D6766"/>
    <w:rsid w:val="005D6FFC"/>
    <w:rsid w:val="005E1BD5"/>
    <w:rsid w:val="005E204F"/>
    <w:rsid w:val="005E2174"/>
    <w:rsid w:val="005E27A1"/>
    <w:rsid w:val="005E2905"/>
    <w:rsid w:val="005E4D7D"/>
    <w:rsid w:val="005E59C0"/>
    <w:rsid w:val="005E5BB8"/>
    <w:rsid w:val="005F2A62"/>
    <w:rsid w:val="005F4965"/>
    <w:rsid w:val="005F4BB9"/>
    <w:rsid w:val="005F4FDC"/>
    <w:rsid w:val="005F70F3"/>
    <w:rsid w:val="005F745D"/>
    <w:rsid w:val="005F7840"/>
    <w:rsid w:val="00601653"/>
    <w:rsid w:val="00603995"/>
    <w:rsid w:val="006041FE"/>
    <w:rsid w:val="0060457A"/>
    <w:rsid w:val="00604764"/>
    <w:rsid w:val="00605EAD"/>
    <w:rsid w:val="006068CC"/>
    <w:rsid w:val="006077A9"/>
    <w:rsid w:val="0061135C"/>
    <w:rsid w:val="006113AD"/>
    <w:rsid w:val="00611420"/>
    <w:rsid w:val="00611836"/>
    <w:rsid w:val="00611D3A"/>
    <w:rsid w:val="006124D6"/>
    <w:rsid w:val="0061270D"/>
    <w:rsid w:val="0061292B"/>
    <w:rsid w:val="00612940"/>
    <w:rsid w:val="00613159"/>
    <w:rsid w:val="0061371D"/>
    <w:rsid w:val="00613C30"/>
    <w:rsid w:val="00613FF7"/>
    <w:rsid w:val="00614DA0"/>
    <w:rsid w:val="00615BC0"/>
    <w:rsid w:val="00620456"/>
    <w:rsid w:val="00620D7F"/>
    <w:rsid w:val="0062271C"/>
    <w:rsid w:val="00622C36"/>
    <w:rsid w:val="00623D29"/>
    <w:rsid w:val="00625714"/>
    <w:rsid w:val="00625C84"/>
    <w:rsid w:val="00626D29"/>
    <w:rsid w:val="00630457"/>
    <w:rsid w:val="0063154E"/>
    <w:rsid w:val="0063353E"/>
    <w:rsid w:val="00635438"/>
    <w:rsid w:val="00635563"/>
    <w:rsid w:val="006356CC"/>
    <w:rsid w:val="00636AC5"/>
    <w:rsid w:val="0063720A"/>
    <w:rsid w:val="00637728"/>
    <w:rsid w:val="00637E24"/>
    <w:rsid w:val="00640601"/>
    <w:rsid w:val="006428AB"/>
    <w:rsid w:val="00642B6F"/>
    <w:rsid w:val="00643A74"/>
    <w:rsid w:val="00644304"/>
    <w:rsid w:val="0064616A"/>
    <w:rsid w:val="0064747B"/>
    <w:rsid w:val="0064763E"/>
    <w:rsid w:val="0064765A"/>
    <w:rsid w:val="00647673"/>
    <w:rsid w:val="006504E6"/>
    <w:rsid w:val="00650A96"/>
    <w:rsid w:val="00652074"/>
    <w:rsid w:val="006523CA"/>
    <w:rsid w:val="006527CF"/>
    <w:rsid w:val="00653370"/>
    <w:rsid w:val="0065376A"/>
    <w:rsid w:val="006550A2"/>
    <w:rsid w:val="0065704E"/>
    <w:rsid w:val="0066086A"/>
    <w:rsid w:val="00661EF8"/>
    <w:rsid w:val="00662D14"/>
    <w:rsid w:val="0066392C"/>
    <w:rsid w:val="00664D04"/>
    <w:rsid w:val="00665059"/>
    <w:rsid w:val="00666703"/>
    <w:rsid w:val="00666EFF"/>
    <w:rsid w:val="00672949"/>
    <w:rsid w:val="00673C67"/>
    <w:rsid w:val="00674C2C"/>
    <w:rsid w:val="00680F5F"/>
    <w:rsid w:val="0068134F"/>
    <w:rsid w:val="006837A4"/>
    <w:rsid w:val="00683F76"/>
    <w:rsid w:val="00685692"/>
    <w:rsid w:val="0068588A"/>
    <w:rsid w:val="00686F3C"/>
    <w:rsid w:val="00687442"/>
    <w:rsid w:val="00687E6B"/>
    <w:rsid w:val="00694997"/>
    <w:rsid w:val="00694F4B"/>
    <w:rsid w:val="00695448"/>
    <w:rsid w:val="0069645A"/>
    <w:rsid w:val="00696B2C"/>
    <w:rsid w:val="00697B14"/>
    <w:rsid w:val="006A0022"/>
    <w:rsid w:val="006A03C1"/>
    <w:rsid w:val="006A0817"/>
    <w:rsid w:val="006A14F7"/>
    <w:rsid w:val="006A190B"/>
    <w:rsid w:val="006A2687"/>
    <w:rsid w:val="006A35D1"/>
    <w:rsid w:val="006A449C"/>
    <w:rsid w:val="006A5308"/>
    <w:rsid w:val="006A7685"/>
    <w:rsid w:val="006B0169"/>
    <w:rsid w:val="006B3C11"/>
    <w:rsid w:val="006B4322"/>
    <w:rsid w:val="006B448F"/>
    <w:rsid w:val="006B4D49"/>
    <w:rsid w:val="006B5328"/>
    <w:rsid w:val="006B5529"/>
    <w:rsid w:val="006B59B1"/>
    <w:rsid w:val="006B6F52"/>
    <w:rsid w:val="006B7A25"/>
    <w:rsid w:val="006C1127"/>
    <w:rsid w:val="006C13EC"/>
    <w:rsid w:val="006C1598"/>
    <w:rsid w:val="006C1F41"/>
    <w:rsid w:val="006C3B4B"/>
    <w:rsid w:val="006C4875"/>
    <w:rsid w:val="006C6243"/>
    <w:rsid w:val="006C6AA7"/>
    <w:rsid w:val="006C7A13"/>
    <w:rsid w:val="006D1049"/>
    <w:rsid w:val="006D1641"/>
    <w:rsid w:val="006D3556"/>
    <w:rsid w:val="006D3CA3"/>
    <w:rsid w:val="006D442D"/>
    <w:rsid w:val="006D6C9F"/>
    <w:rsid w:val="006E05BD"/>
    <w:rsid w:val="006E0861"/>
    <w:rsid w:val="006E1613"/>
    <w:rsid w:val="006E1F44"/>
    <w:rsid w:val="006E27DC"/>
    <w:rsid w:val="006E39FD"/>
    <w:rsid w:val="006E4461"/>
    <w:rsid w:val="006E7BC4"/>
    <w:rsid w:val="006F2F37"/>
    <w:rsid w:val="006F3599"/>
    <w:rsid w:val="006F430E"/>
    <w:rsid w:val="006F4475"/>
    <w:rsid w:val="006F4836"/>
    <w:rsid w:val="006F498E"/>
    <w:rsid w:val="006F4FC7"/>
    <w:rsid w:val="006F681D"/>
    <w:rsid w:val="00701C1B"/>
    <w:rsid w:val="007027ED"/>
    <w:rsid w:val="00702BFB"/>
    <w:rsid w:val="00703DDE"/>
    <w:rsid w:val="00704923"/>
    <w:rsid w:val="00704A4B"/>
    <w:rsid w:val="00705186"/>
    <w:rsid w:val="00710FBB"/>
    <w:rsid w:val="00713A7C"/>
    <w:rsid w:val="0071495E"/>
    <w:rsid w:val="007174E0"/>
    <w:rsid w:val="00717CC9"/>
    <w:rsid w:val="00717F77"/>
    <w:rsid w:val="00720474"/>
    <w:rsid w:val="007212BB"/>
    <w:rsid w:val="00722D43"/>
    <w:rsid w:val="00723A8C"/>
    <w:rsid w:val="00725B48"/>
    <w:rsid w:val="00725F75"/>
    <w:rsid w:val="007263FC"/>
    <w:rsid w:val="00727A6E"/>
    <w:rsid w:val="00730986"/>
    <w:rsid w:val="00730D33"/>
    <w:rsid w:val="00732303"/>
    <w:rsid w:val="00735D5C"/>
    <w:rsid w:val="007411C3"/>
    <w:rsid w:val="00741705"/>
    <w:rsid w:val="007429D2"/>
    <w:rsid w:val="00743672"/>
    <w:rsid w:val="00744494"/>
    <w:rsid w:val="00744B21"/>
    <w:rsid w:val="00745226"/>
    <w:rsid w:val="00747A4D"/>
    <w:rsid w:val="00752153"/>
    <w:rsid w:val="007524E9"/>
    <w:rsid w:val="00752E49"/>
    <w:rsid w:val="00753C0A"/>
    <w:rsid w:val="0075442C"/>
    <w:rsid w:val="00754929"/>
    <w:rsid w:val="007572BB"/>
    <w:rsid w:val="00757D67"/>
    <w:rsid w:val="00761677"/>
    <w:rsid w:val="00761896"/>
    <w:rsid w:val="00763BA8"/>
    <w:rsid w:val="007640CB"/>
    <w:rsid w:val="0076540E"/>
    <w:rsid w:val="00767A9B"/>
    <w:rsid w:val="00772091"/>
    <w:rsid w:val="007737F4"/>
    <w:rsid w:val="00774237"/>
    <w:rsid w:val="007751EE"/>
    <w:rsid w:val="0077686B"/>
    <w:rsid w:val="007770CD"/>
    <w:rsid w:val="00777A7F"/>
    <w:rsid w:val="00777D0D"/>
    <w:rsid w:val="0078068A"/>
    <w:rsid w:val="00780B2C"/>
    <w:rsid w:val="00780E55"/>
    <w:rsid w:val="007829A4"/>
    <w:rsid w:val="007861FB"/>
    <w:rsid w:val="00787AF2"/>
    <w:rsid w:val="00787F51"/>
    <w:rsid w:val="00791A6D"/>
    <w:rsid w:val="00792810"/>
    <w:rsid w:val="00792A47"/>
    <w:rsid w:val="00792AFF"/>
    <w:rsid w:val="0079383C"/>
    <w:rsid w:val="0079562F"/>
    <w:rsid w:val="00796199"/>
    <w:rsid w:val="00797252"/>
    <w:rsid w:val="007A0164"/>
    <w:rsid w:val="007A1D17"/>
    <w:rsid w:val="007A2B6C"/>
    <w:rsid w:val="007A3609"/>
    <w:rsid w:val="007A7014"/>
    <w:rsid w:val="007A7FCD"/>
    <w:rsid w:val="007B07EF"/>
    <w:rsid w:val="007B5444"/>
    <w:rsid w:val="007B70F4"/>
    <w:rsid w:val="007B71CF"/>
    <w:rsid w:val="007C0071"/>
    <w:rsid w:val="007C0DA6"/>
    <w:rsid w:val="007C477C"/>
    <w:rsid w:val="007C4DD0"/>
    <w:rsid w:val="007C509E"/>
    <w:rsid w:val="007C5FCC"/>
    <w:rsid w:val="007C675C"/>
    <w:rsid w:val="007C7154"/>
    <w:rsid w:val="007D397E"/>
    <w:rsid w:val="007D400F"/>
    <w:rsid w:val="007D50B2"/>
    <w:rsid w:val="007D6303"/>
    <w:rsid w:val="007D6A59"/>
    <w:rsid w:val="007D6E66"/>
    <w:rsid w:val="007E043A"/>
    <w:rsid w:val="007E0B9E"/>
    <w:rsid w:val="007E0C63"/>
    <w:rsid w:val="007E159C"/>
    <w:rsid w:val="007E2C2B"/>
    <w:rsid w:val="007E328A"/>
    <w:rsid w:val="007E3E14"/>
    <w:rsid w:val="007E5415"/>
    <w:rsid w:val="007E7ADD"/>
    <w:rsid w:val="007F03AA"/>
    <w:rsid w:val="007F091F"/>
    <w:rsid w:val="007F41AA"/>
    <w:rsid w:val="007F5633"/>
    <w:rsid w:val="007F5DFF"/>
    <w:rsid w:val="007F7879"/>
    <w:rsid w:val="007F79E4"/>
    <w:rsid w:val="00800E20"/>
    <w:rsid w:val="00800F9A"/>
    <w:rsid w:val="008022E1"/>
    <w:rsid w:val="00802CDA"/>
    <w:rsid w:val="008033D9"/>
    <w:rsid w:val="008041C3"/>
    <w:rsid w:val="0080637E"/>
    <w:rsid w:val="00806F5B"/>
    <w:rsid w:val="00810DA9"/>
    <w:rsid w:val="008127E8"/>
    <w:rsid w:val="00812AD6"/>
    <w:rsid w:val="0081386E"/>
    <w:rsid w:val="008142BE"/>
    <w:rsid w:val="00816FA1"/>
    <w:rsid w:val="00820528"/>
    <w:rsid w:val="00820EE2"/>
    <w:rsid w:val="00821369"/>
    <w:rsid w:val="008214DB"/>
    <w:rsid w:val="0082369A"/>
    <w:rsid w:val="00823E0C"/>
    <w:rsid w:val="0082533A"/>
    <w:rsid w:val="00826DE6"/>
    <w:rsid w:val="008279A9"/>
    <w:rsid w:val="008304C0"/>
    <w:rsid w:val="008305DD"/>
    <w:rsid w:val="00831180"/>
    <w:rsid w:val="0083143C"/>
    <w:rsid w:val="00833401"/>
    <w:rsid w:val="008338D5"/>
    <w:rsid w:val="00833ABA"/>
    <w:rsid w:val="00833D68"/>
    <w:rsid w:val="00833D83"/>
    <w:rsid w:val="0083417B"/>
    <w:rsid w:val="008352E1"/>
    <w:rsid w:val="00835BD7"/>
    <w:rsid w:val="00842B5B"/>
    <w:rsid w:val="00842DBC"/>
    <w:rsid w:val="00843757"/>
    <w:rsid w:val="00843C99"/>
    <w:rsid w:val="00844323"/>
    <w:rsid w:val="008465E4"/>
    <w:rsid w:val="00846C01"/>
    <w:rsid w:val="00847A47"/>
    <w:rsid w:val="00847BD0"/>
    <w:rsid w:val="0085042E"/>
    <w:rsid w:val="008567C4"/>
    <w:rsid w:val="008612FD"/>
    <w:rsid w:val="0086350B"/>
    <w:rsid w:val="008650DE"/>
    <w:rsid w:val="00866341"/>
    <w:rsid w:val="00871F5F"/>
    <w:rsid w:val="00872C51"/>
    <w:rsid w:val="00872FAB"/>
    <w:rsid w:val="0087405A"/>
    <w:rsid w:val="008747A4"/>
    <w:rsid w:val="00875B2B"/>
    <w:rsid w:val="008767D4"/>
    <w:rsid w:val="00877B23"/>
    <w:rsid w:val="00880B86"/>
    <w:rsid w:val="00880FAF"/>
    <w:rsid w:val="008819F0"/>
    <w:rsid w:val="0088291C"/>
    <w:rsid w:val="008835E7"/>
    <w:rsid w:val="0088379C"/>
    <w:rsid w:val="00884688"/>
    <w:rsid w:val="00884C60"/>
    <w:rsid w:val="00887569"/>
    <w:rsid w:val="00887B3A"/>
    <w:rsid w:val="008900B9"/>
    <w:rsid w:val="008910E7"/>
    <w:rsid w:val="00892726"/>
    <w:rsid w:val="0089346A"/>
    <w:rsid w:val="008939BB"/>
    <w:rsid w:val="00894F70"/>
    <w:rsid w:val="0089582A"/>
    <w:rsid w:val="00895EF8"/>
    <w:rsid w:val="008977B0"/>
    <w:rsid w:val="00897E60"/>
    <w:rsid w:val="008A095C"/>
    <w:rsid w:val="008A28D7"/>
    <w:rsid w:val="008A3B9C"/>
    <w:rsid w:val="008A4B79"/>
    <w:rsid w:val="008A6C05"/>
    <w:rsid w:val="008B0074"/>
    <w:rsid w:val="008B06B6"/>
    <w:rsid w:val="008B1B12"/>
    <w:rsid w:val="008B1ECA"/>
    <w:rsid w:val="008B2A3E"/>
    <w:rsid w:val="008B3DAE"/>
    <w:rsid w:val="008B4C7F"/>
    <w:rsid w:val="008B6A80"/>
    <w:rsid w:val="008C02F8"/>
    <w:rsid w:val="008C0730"/>
    <w:rsid w:val="008C10CD"/>
    <w:rsid w:val="008C11A4"/>
    <w:rsid w:val="008C1A9E"/>
    <w:rsid w:val="008C36DE"/>
    <w:rsid w:val="008C46FA"/>
    <w:rsid w:val="008C4C43"/>
    <w:rsid w:val="008C6164"/>
    <w:rsid w:val="008C623F"/>
    <w:rsid w:val="008C6628"/>
    <w:rsid w:val="008D09EB"/>
    <w:rsid w:val="008D177C"/>
    <w:rsid w:val="008D2255"/>
    <w:rsid w:val="008D38D8"/>
    <w:rsid w:val="008D3F06"/>
    <w:rsid w:val="008D5108"/>
    <w:rsid w:val="008D513F"/>
    <w:rsid w:val="008D5DEC"/>
    <w:rsid w:val="008D6A50"/>
    <w:rsid w:val="008E0217"/>
    <w:rsid w:val="008E10D1"/>
    <w:rsid w:val="008E11FC"/>
    <w:rsid w:val="008E21B8"/>
    <w:rsid w:val="008E29EC"/>
    <w:rsid w:val="008E2DB9"/>
    <w:rsid w:val="008E341E"/>
    <w:rsid w:val="008E3749"/>
    <w:rsid w:val="008E6ADD"/>
    <w:rsid w:val="008E6AE4"/>
    <w:rsid w:val="008E6B6B"/>
    <w:rsid w:val="008F051F"/>
    <w:rsid w:val="008F5B52"/>
    <w:rsid w:val="008F6765"/>
    <w:rsid w:val="008F6A78"/>
    <w:rsid w:val="008F6B91"/>
    <w:rsid w:val="00900419"/>
    <w:rsid w:val="00901CD4"/>
    <w:rsid w:val="00904521"/>
    <w:rsid w:val="00905540"/>
    <w:rsid w:val="00907941"/>
    <w:rsid w:val="009079BB"/>
    <w:rsid w:val="00907DE2"/>
    <w:rsid w:val="00910814"/>
    <w:rsid w:val="00910C1D"/>
    <w:rsid w:val="009125EC"/>
    <w:rsid w:val="00912929"/>
    <w:rsid w:val="00916D5D"/>
    <w:rsid w:val="00917134"/>
    <w:rsid w:val="00920655"/>
    <w:rsid w:val="00920978"/>
    <w:rsid w:val="00920D21"/>
    <w:rsid w:val="00922001"/>
    <w:rsid w:val="00922137"/>
    <w:rsid w:val="00922D4D"/>
    <w:rsid w:val="00923A08"/>
    <w:rsid w:val="00925024"/>
    <w:rsid w:val="009254F5"/>
    <w:rsid w:val="00926F99"/>
    <w:rsid w:val="009305E9"/>
    <w:rsid w:val="00930DAD"/>
    <w:rsid w:val="00931ACC"/>
    <w:rsid w:val="0093316E"/>
    <w:rsid w:val="009333D6"/>
    <w:rsid w:val="009349D4"/>
    <w:rsid w:val="00936971"/>
    <w:rsid w:val="00936E50"/>
    <w:rsid w:val="0093721F"/>
    <w:rsid w:val="00937EAA"/>
    <w:rsid w:val="0094077B"/>
    <w:rsid w:val="009407EB"/>
    <w:rsid w:val="0094080A"/>
    <w:rsid w:val="0094116F"/>
    <w:rsid w:val="009419E6"/>
    <w:rsid w:val="009422D7"/>
    <w:rsid w:val="00942786"/>
    <w:rsid w:val="009427AE"/>
    <w:rsid w:val="009433FF"/>
    <w:rsid w:val="00943792"/>
    <w:rsid w:val="00943A54"/>
    <w:rsid w:val="0094567A"/>
    <w:rsid w:val="0094663C"/>
    <w:rsid w:val="00947881"/>
    <w:rsid w:val="00950078"/>
    <w:rsid w:val="00950F90"/>
    <w:rsid w:val="0095289C"/>
    <w:rsid w:val="00952B51"/>
    <w:rsid w:val="00953F44"/>
    <w:rsid w:val="0095596F"/>
    <w:rsid w:val="00955B52"/>
    <w:rsid w:val="00956494"/>
    <w:rsid w:val="00956B57"/>
    <w:rsid w:val="00957B2F"/>
    <w:rsid w:val="00960227"/>
    <w:rsid w:val="0096169A"/>
    <w:rsid w:val="0096178A"/>
    <w:rsid w:val="00961DFF"/>
    <w:rsid w:val="009621F5"/>
    <w:rsid w:val="00962ABC"/>
    <w:rsid w:val="00963A17"/>
    <w:rsid w:val="00971CA9"/>
    <w:rsid w:val="00972D81"/>
    <w:rsid w:val="00974091"/>
    <w:rsid w:val="00976245"/>
    <w:rsid w:val="00976E47"/>
    <w:rsid w:val="0097719D"/>
    <w:rsid w:val="00980B53"/>
    <w:rsid w:val="009827D4"/>
    <w:rsid w:val="00982BA7"/>
    <w:rsid w:val="00985814"/>
    <w:rsid w:val="00987267"/>
    <w:rsid w:val="00987D2E"/>
    <w:rsid w:val="00987DD7"/>
    <w:rsid w:val="009908AA"/>
    <w:rsid w:val="0099191D"/>
    <w:rsid w:val="009930DE"/>
    <w:rsid w:val="0099408D"/>
    <w:rsid w:val="00994A2A"/>
    <w:rsid w:val="00995503"/>
    <w:rsid w:val="0099629F"/>
    <w:rsid w:val="00996D99"/>
    <w:rsid w:val="009973DF"/>
    <w:rsid w:val="009A32DF"/>
    <w:rsid w:val="009A380F"/>
    <w:rsid w:val="009A3984"/>
    <w:rsid w:val="009A6DD4"/>
    <w:rsid w:val="009A7329"/>
    <w:rsid w:val="009B33BD"/>
    <w:rsid w:val="009B43D7"/>
    <w:rsid w:val="009B458A"/>
    <w:rsid w:val="009B5581"/>
    <w:rsid w:val="009C28AD"/>
    <w:rsid w:val="009C2B1A"/>
    <w:rsid w:val="009C476C"/>
    <w:rsid w:val="009C57C7"/>
    <w:rsid w:val="009C66F3"/>
    <w:rsid w:val="009C6CF0"/>
    <w:rsid w:val="009C74D8"/>
    <w:rsid w:val="009C7C6F"/>
    <w:rsid w:val="009D0A75"/>
    <w:rsid w:val="009D0D51"/>
    <w:rsid w:val="009D1B04"/>
    <w:rsid w:val="009D27CF"/>
    <w:rsid w:val="009D44C2"/>
    <w:rsid w:val="009D466F"/>
    <w:rsid w:val="009D5C4A"/>
    <w:rsid w:val="009D615B"/>
    <w:rsid w:val="009D7CBE"/>
    <w:rsid w:val="009E0DD0"/>
    <w:rsid w:val="009E181E"/>
    <w:rsid w:val="009E1EC9"/>
    <w:rsid w:val="009E21FF"/>
    <w:rsid w:val="009E24CA"/>
    <w:rsid w:val="009E2BCE"/>
    <w:rsid w:val="009E3385"/>
    <w:rsid w:val="009E3793"/>
    <w:rsid w:val="009E3F4F"/>
    <w:rsid w:val="009E68A0"/>
    <w:rsid w:val="009F0E3F"/>
    <w:rsid w:val="009F156A"/>
    <w:rsid w:val="009F18A6"/>
    <w:rsid w:val="009F2CD6"/>
    <w:rsid w:val="009F30FA"/>
    <w:rsid w:val="009F4429"/>
    <w:rsid w:val="009F5447"/>
    <w:rsid w:val="009F60AA"/>
    <w:rsid w:val="009F61DE"/>
    <w:rsid w:val="009F6C34"/>
    <w:rsid w:val="009F7005"/>
    <w:rsid w:val="00A01DA4"/>
    <w:rsid w:val="00A0215E"/>
    <w:rsid w:val="00A0306B"/>
    <w:rsid w:val="00A03A52"/>
    <w:rsid w:val="00A052E7"/>
    <w:rsid w:val="00A065F8"/>
    <w:rsid w:val="00A06864"/>
    <w:rsid w:val="00A06B05"/>
    <w:rsid w:val="00A07AFB"/>
    <w:rsid w:val="00A125E0"/>
    <w:rsid w:val="00A128CF"/>
    <w:rsid w:val="00A12CBB"/>
    <w:rsid w:val="00A1410D"/>
    <w:rsid w:val="00A141C9"/>
    <w:rsid w:val="00A147E3"/>
    <w:rsid w:val="00A15196"/>
    <w:rsid w:val="00A1654F"/>
    <w:rsid w:val="00A1754D"/>
    <w:rsid w:val="00A175F0"/>
    <w:rsid w:val="00A213A3"/>
    <w:rsid w:val="00A22A30"/>
    <w:rsid w:val="00A23C64"/>
    <w:rsid w:val="00A253AA"/>
    <w:rsid w:val="00A25B1B"/>
    <w:rsid w:val="00A25CB2"/>
    <w:rsid w:val="00A30255"/>
    <w:rsid w:val="00A31A98"/>
    <w:rsid w:val="00A32D23"/>
    <w:rsid w:val="00A34A17"/>
    <w:rsid w:val="00A34D28"/>
    <w:rsid w:val="00A34D72"/>
    <w:rsid w:val="00A361B8"/>
    <w:rsid w:val="00A36C50"/>
    <w:rsid w:val="00A41438"/>
    <w:rsid w:val="00A424B1"/>
    <w:rsid w:val="00A42671"/>
    <w:rsid w:val="00A428DF"/>
    <w:rsid w:val="00A437C3"/>
    <w:rsid w:val="00A461A4"/>
    <w:rsid w:val="00A4697B"/>
    <w:rsid w:val="00A47D9A"/>
    <w:rsid w:val="00A5032F"/>
    <w:rsid w:val="00A52DEC"/>
    <w:rsid w:val="00A5331D"/>
    <w:rsid w:val="00A53662"/>
    <w:rsid w:val="00A55B78"/>
    <w:rsid w:val="00A575C5"/>
    <w:rsid w:val="00A579E0"/>
    <w:rsid w:val="00A6178E"/>
    <w:rsid w:val="00A63ADB"/>
    <w:rsid w:val="00A63B1E"/>
    <w:rsid w:val="00A64E0B"/>
    <w:rsid w:val="00A653B7"/>
    <w:rsid w:val="00A65CE9"/>
    <w:rsid w:val="00A66BCA"/>
    <w:rsid w:val="00A71521"/>
    <w:rsid w:val="00A718C2"/>
    <w:rsid w:val="00A73130"/>
    <w:rsid w:val="00A740BE"/>
    <w:rsid w:val="00A75F4D"/>
    <w:rsid w:val="00A76B45"/>
    <w:rsid w:val="00A76E2F"/>
    <w:rsid w:val="00A80F6F"/>
    <w:rsid w:val="00A82357"/>
    <w:rsid w:val="00A832EF"/>
    <w:rsid w:val="00A83D96"/>
    <w:rsid w:val="00A83DB1"/>
    <w:rsid w:val="00A848B9"/>
    <w:rsid w:val="00A84958"/>
    <w:rsid w:val="00A853A4"/>
    <w:rsid w:val="00A91243"/>
    <w:rsid w:val="00A91C44"/>
    <w:rsid w:val="00A91E4A"/>
    <w:rsid w:val="00A9252A"/>
    <w:rsid w:val="00A92B7A"/>
    <w:rsid w:val="00A966C1"/>
    <w:rsid w:val="00A97409"/>
    <w:rsid w:val="00AA02E1"/>
    <w:rsid w:val="00AA0B08"/>
    <w:rsid w:val="00AA212B"/>
    <w:rsid w:val="00AA2300"/>
    <w:rsid w:val="00AA27E7"/>
    <w:rsid w:val="00AA28E2"/>
    <w:rsid w:val="00AA41DF"/>
    <w:rsid w:val="00AA4258"/>
    <w:rsid w:val="00AA5026"/>
    <w:rsid w:val="00AA6E97"/>
    <w:rsid w:val="00AB0537"/>
    <w:rsid w:val="00AB0DC1"/>
    <w:rsid w:val="00AB11C4"/>
    <w:rsid w:val="00AB1BFE"/>
    <w:rsid w:val="00AB38B9"/>
    <w:rsid w:val="00AB3E15"/>
    <w:rsid w:val="00AB47F1"/>
    <w:rsid w:val="00AB483D"/>
    <w:rsid w:val="00AB6D49"/>
    <w:rsid w:val="00AB70EB"/>
    <w:rsid w:val="00AB7CCF"/>
    <w:rsid w:val="00AC05AF"/>
    <w:rsid w:val="00AC0710"/>
    <w:rsid w:val="00AC2BE4"/>
    <w:rsid w:val="00AC300A"/>
    <w:rsid w:val="00AC3978"/>
    <w:rsid w:val="00AC3C1D"/>
    <w:rsid w:val="00AC5C6A"/>
    <w:rsid w:val="00AC603E"/>
    <w:rsid w:val="00AD1D85"/>
    <w:rsid w:val="00AD30F3"/>
    <w:rsid w:val="00AD51FD"/>
    <w:rsid w:val="00AD5474"/>
    <w:rsid w:val="00AD549E"/>
    <w:rsid w:val="00AD58FA"/>
    <w:rsid w:val="00AD5FEC"/>
    <w:rsid w:val="00AD6EA4"/>
    <w:rsid w:val="00AD7C18"/>
    <w:rsid w:val="00AE3C84"/>
    <w:rsid w:val="00AE54E3"/>
    <w:rsid w:val="00AE6169"/>
    <w:rsid w:val="00AE6AD9"/>
    <w:rsid w:val="00AE6EDC"/>
    <w:rsid w:val="00AE7FDC"/>
    <w:rsid w:val="00AF042D"/>
    <w:rsid w:val="00AF1B05"/>
    <w:rsid w:val="00AF436C"/>
    <w:rsid w:val="00AF5E40"/>
    <w:rsid w:val="00AF625E"/>
    <w:rsid w:val="00AF7CD0"/>
    <w:rsid w:val="00B00585"/>
    <w:rsid w:val="00B00589"/>
    <w:rsid w:val="00B007AE"/>
    <w:rsid w:val="00B01C3B"/>
    <w:rsid w:val="00B02062"/>
    <w:rsid w:val="00B02F91"/>
    <w:rsid w:val="00B03567"/>
    <w:rsid w:val="00B040E8"/>
    <w:rsid w:val="00B046B0"/>
    <w:rsid w:val="00B04756"/>
    <w:rsid w:val="00B047FB"/>
    <w:rsid w:val="00B07520"/>
    <w:rsid w:val="00B122F1"/>
    <w:rsid w:val="00B12696"/>
    <w:rsid w:val="00B1280C"/>
    <w:rsid w:val="00B13ECE"/>
    <w:rsid w:val="00B152E6"/>
    <w:rsid w:val="00B16B67"/>
    <w:rsid w:val="00B16BC5"/>
    <w:rsid w:val="00B217FE"/>
    <w:rsid w:val="00B2390C"/>
    <w:rsid w:val="00B24295"/>
    <w:rsid w:val="00B2501B"/>
    <w:rsid w:val="00B25DBC"/>
    <w:rsid w:val="00B27DE5"/>
    <w:rsid w:val="00B306F0"/>
    <w:rsid w:val="00B3132E"/>
    <w:rsid w:val="00B31871"/>
    <w:rsid w:val="00B32BCB"/>
    <w:rsid w:val="00B33812"/>
    <w:rsid w:val="00B338F1"/>
    <w:rsid w:val="00B34D59"/>
    <w:rsid w:val="00B36462"/>
    <w:rsid w:val="00B366DB"/>
    <w:rsid w:val="00B36ACF"/>
    <w:rsid w:val="00B36BFE"/>
    <w:rsid w:val="00B36EC3"/>
    <w:rsid w:val="00B37D2F"/>
    <w:rsid w:val="00B37D47"/>
    <w:rsid w:val="00B41498"/>
    <w:rsid w:val="00B451CB"/>
    <w:rsid w:val="00B46C8E"/>
    <w:rsid w:val="00B47989"/>
    <w:rsid w:val="00B50286"/>
    <w:rsid w:val="00B50695"/>
    <w:rsid w:val="00B508AF"/>
    <w:rsid w:val="00B50917"/>
    <w:rsid w:val="00B50B19"/>
    <w:rsid w:val="00B512F6"/>
    <w:rsid w:val="00B51E7E"/>
    <w:rsid w:val="00B52D90"/>
    <w:rsid w:val="00B53430"/>
    <w:rsid w:val="00B54DB3"/>
    <w:rsid w:val="00B55405"/>
    <w:rsid w:val="00B55C53"/>
    <w:rsid w:val="00B55D3A"/>
    <w:rsid w:val="00B61D9C"/>
    <w:rsid w:val="00B6204F"/>
    <w:rsid w:val="00B62F4A"/>
    <w:rsid w:val="00B6431D"/>
    <w:rsid w:val="00B64414"/>
    <w:rsid w:val="00B64CE7"/>
    <w:rsid w:val="00B651A4"/>
    <w:rsid w:val="00B65455"/>
    <w:rsid w:val="00B66A00"/>
    <w:rsid w:val="00B6720D"/>
    <w:rsid w:val="00B70CEA"/>
    <w:rsid w:val="00B71C54"/>
    <w:rsid w:val="00B71FFA"/>
    <w:rsid w:val="00B73468"/>
    <w:rsid w:val="00B763E4"/>
    <w:rsid w:val="00B775B3"/>
    <w:rsid w:val="00B80065"/>
    <w:rsid w:val="00B802A4"/>
    <w:rsid w:val="00B81797"/>
    <w:rsid w:val="00B81A03"/>
    <w:rsid w:val="00B82356"/>
    <w:rsid w:val="00B851BE"/>
    <w:rsid w:val="00B856F6"/>
    <w:rsid w:val="00B862D7"/>
    <w:rsid w:val="00B868F0"/>
    <w:rsid w:val="00B872C2"/>
    <w:rsid w:val="00B87645"/>
    <w:rsid w:val="00B87B37"/>
    <w:rsid w:val="00B932D7"/>
    <w:rsid w:val="00B9395A"/>
    <w:rsid w:val="00B9465C"/>
    <w:rsid w:val="00B948A1"/>
    <w:rsid w:val="00B94AFD"/>
    <w:rsid w:val="00B94BFA"/>
    <w:rsid w:val="00B94D31"/>
    <w:rsid w:val="00B9521F"/>
    <w:rsid w:val="00B95EB0"/>
    <w:rsid w:val="00B9708C"/>
    <w:rsid w:val="00B970CF"/>
    <w:rsid w:val="00B970DB"/>
    <w:rsid w:val="00B9768B"/>
    <w:rsid w:val="00BA046B"/>
    <w:rsid w:val="00BA04DE"/>
    <w:rsid w:val="00BA1246"/>
    <w:rsid w:val="00BA29C6"/>
    <w:rsid w:val="00BA38FF"/>
    <w:rsid w:val="00BA414B"/>
    <w:rsid w:val="00BA4390"/>
    <w:rsid w:val="00BA480C"/>
    <w:rsid w:val="00BA4B7A"/>
    <w:rsid w:val="00BA4FF0"/>
    <w:rsid w:val="00BA53F2"/>
    <w:rsid w:val="00BA654D"/>
    <w:rsid w:val="00BA6A00"/>
    <w:rsid w:val="00BA6ED8"/>
    <w:rsid w:val="00BA768A"/>
    <w:rsid w:val="00BB3D48"/>
    <w:rsid w:val="00BB53A7"/>
    <w:rsid w:val="00BB6D03"/>
    <w:rsid w:val="00BC10AC"/>
    <w:rsid w:val="00BC1A24"/>
    <w:rsid w:val="00BC4BC6"/>
    <w:rsid w:val="00BC717B"/>
    <w:rsid w:val="00BD0D64"/>
    <w:rsid w:val="00BD1EBB"/>
    <w:rsid w:val="00BD224A"/>
    <w:rsid w:val="00BD2B39"/>
    <w:rsid w:val="00BD3D42"/>
    <w:rsid w:val="00BD5B87"/>
    <w:rsid w:val="00BD7485"/>
    <w:rsid w:val="00BE0A05"/>
    <w:rsid w:val="00BE17F2"/>
    <w:rsid w:val="00BE19F7"/>
    <w:rsid w:val="00BE1B5F"/>
    <w:rsid w:val="00BE256B"/>
    <w:rsid w:val="00BE2D0B"/>
    <w:rsid w:val="00BE3D38"/>
    <w:rsid w:val="00BF052D"/>
    <w:rsid w:val="00BF060C"/>
    <w:rsid w:val="00BF2BB8"/>
    <w:rsid w:val="00BF4CE1"/>
    <w:rsid w:val="00BF57E8"/>
    <w:rsid w:val="00BF65D0"/>
    <w:rsid w:val="00BF685E"/>
    <w:rsid w:val="00BF7B18"/>
    <w:rsid w:val="00C00934"/>
    <w:rsid w:val="00C02674"/>
    <w:rsid w:val="00C0267F"/>
    <w:rsid w:val="00C0455F"/>
    <w:rsid w:val="00C05E86"/>
    <w:rsid w:val="00C11539"/>
    <w:rsid w:val="00C12A23"/>
    <w:rsid w:val="00C13B25"/>
    <w:rsid w:val="00C144A1"/>
    <w:rsid w:val="00C14A4E"/>
    <w:rsid w:val="00C17A7F"/>
    <w:rsid w:val="00C20122"/>
    <w:rsid w:val="00C220B1"/>
    <w:rsid w:val="00C223C9"/>
    <w:rsid w:val="00C238CB"/>
    <w:rsid w:val="00C245F4"/>
    <w:rsid w:val="00C259BF"/>
    <w:rsid w:val="00C25FF8"/>
    <w:rsid w:val="00C31A14"/>
    <w:rsid w:val="00C31D60"/>
    <w:rsid w:val="00C31E9B"/>
    <w:rsid w:val="00C33185"/>
    <w:rsid w:val="00C379BF"/>
    <w:rsid w:val="00C402C2"/>
    <w:rsid w:val="00C40E24"/>
    <w:rsid w:val="00C419C5"/>
    <w:rsid w:val="00C420F4"/>
    <w:rsid w:val="00C42321"/>
    <w:rsid w:val="00C4370B"/>
    <w:rsid w:val="00C43FD7"/>
    <w:rsid w:val="00C4403B"/>
    <w:rsid w:val="00C45BA5"/>
    <w:rsid w:val="00C478A2"/>
    <w:rsid w:val="00C5042A"/>
    <w:rsid w:val="00C51413"/>
    <w:rsid w:val="00C52DB3"/>
    <w:rsid w:val="00C538E3"/>
    <w:rsid w:val="00C55CA7"/>
    <w:rsid w:val="00C572EE"/>
    <w:rsid w:val="00C60D7F"/>
    <w:rsid w:val="00C61B8D"/>
    <w:rsid w:val="00C625E0"/>
    <w:rsid w:val="00C6309D"/>
    <w:rsid w:val="00C64174"/>
    <w:rsid w:val="00C6465F"/>
    <w:rsid w:val="00C64DD1"/>
    <w:rsid w:val="00C65373"/>
    <w:rsid w:val="00C6703C"/>
    <w:rsid w:val="00C67BFE"/>
    <w:rsid w:val="00C700A7"/>
    <w:rsid w:val="00C70611"/>
    <w:rsid w:val="00C72F5D"/>
    <w:rsid w:val="00C73996"/>
    <w:rsid w:val="00C7464E"/>
    <w:rsid w:val="00C753CB"/>
    <w:rsid w:val="00C76234"/>
    <w:rsid w:val="00C800CE"/>
    <w:rsid w:val="00C808F1"/>
    <w:rsid w:val="00C81D07"/>
    <w:rsid w:val="00C825E7"/>
    <w:rsid w:val="00C845B1"/>
    <w:rsid w:val="00C863C9"/>
    <w:rsid w:val="00C86A54"/>
    <w:rsid w:val="00C86F62"/>
    <w:rsid w:val="00C90D4C"/>
    <w:rsid w:val="00C9158D"/>
    <w:rsid w:val="00C91658"/>
    <w:rsid w:val="00C928E0"/>
    <w:rsid w:val="00C93082"/>
    <w:rsid w:val="00C932D2"/>
    <w:rsid w:val="00C93C34"/>
    <w:rsid w:val="00C94448"/>
    <w:rsid w:val="00C94A6C"/>
    <w:rsid w:val="00C96884"/>
    <w:rsid w:val="00C9714C"/>
    <w:rsid w:val="00C97801"/>
    <w:rsid w:val="00C97A27"/>
    <w:rsid w:val="00CA1E81"/>
    <w:rsid w:val="00CA1FE4"/>
    <w:rsid w:val="00CA3019"/>
    <w:rsid w:val="00CA3931"/>
    <w:rsid w:val="00CA3CB0"/>
    <w:rsid w:val="00CA3EDB"/>
    <w:rsid w:val="00CA712A"/>
    <w:rsid w:val="00CA78EC"/>
    <w:rsid w:val="00CA7AD9"/>
    <w:rsid w:val="00CB06BC"/>
    <w:rsid w:val="00CB0FD1"/>
    <w:rsid w:val="00CB1431"/>
    <w:rsid w:val="00CB1ED6"/>
    <w:rsid w:val="00CB23C9"/>
    <w:rsid w:val="00CB2DF7"/>
    <w:rsid w:val="00CB3DCB"/>
    <w:rsid w:val="00CB467B"/>
    <w:rsid w:val="00CB47DA"/>
    <w:rsid w:val="00CB562E"/>
    <w:rsid w:val="00CB681E"/>
    <w:rsid w:val="00CB692F"/>
    <w:rsid w:val="00CC15D7"/>
    <w:rsid w:val="00CC1FC0"/>
    <w:rsid w:val="00CC45AC"/>
    <w:rsid w:val="00CC68EA"/>
    <w:rsid w:val="00CC7FD5"/>
    <w:rsid w:val="00CD00D2"/>
    <w:rsid w:val="00CD12B9"/>
    <w:rsid w:val="00CD2334"/>
    <w:rsid w:val="00CD2CCF"/>
    <w:rsid w:val="00CD385A"/>
    <w:rsid w:val="00CD56CE"/>
    <w:rsid w:val="00CD5E1C"/>
    <w:rsid w:val="00CD6194"/>
    <w:rsid w:val="00CE02B2"/>
    <w:rsid w:val="00CE31B9"/>
    <w:rsid w:val="00CE3AD6"/>
    <w:rsid w:val="00CE494E"/>
    <w:rsid w:val="00CE4DC2"/>
    <w:rsid w:val="00CE5508"/>
    <w:rsid w:val="00CE5F11"/>
    <w:rsid w:val="00CE6AE2"/>
    <w:rsid w:val="00CE6CDD"/>
    <w:rsid w:val="00CF2F8C"/>
    <w:rsid w:val="00CF3CDC"/>
    <w:rsid w:val="00CF7BAE"/>
    <w:rsid w:val="00CF7E33"/>
    <w:rsid w:val="00D012ED"/>
    <w:rsid w:val="00D03104"/>
    <w:rsid w:val="00D03268"/>
    <w:rsid w:val="00D04772"/>
    <w:rsid w:val="00D05F70"/>
    <w:rsid w:val="00D07D35"/>
    <w:rsid w:val="00D11501"/>
    <w:rsid w:val="00D116E1"/>
    <w:rsid w:val="00D118BC"/>
    <w:rsid w:val="00D11CAE"/>
    <w:rsid w:val="00D11D46"/>
    <w:rsid w:val="00D13213"/>
    <w:rsid w:val="00D13A5A"/>
    <w:rsid w:val="00D1539C"/>
    <w:rsid w:val="00D16ADE"/>
    <w:rsid w:val="00D17B1C"/>
    <w:rsid w:val="00D17C81"/>
    <w:rsid w:val="00D202F6"/>
    <w:rsid w:val="00D2406F"/>
    <w:rsid w:val="00D25C25"/>
    <w:rsid w:val="00D2692A"/>
    <w:rsid w:val="00D2698F"/>
    <w:rsid w:val="00D26D7A"/>
    <w:rsid w:val="00D27472"/>
    <w:rsid w:val="00D276A6"/>
    <w:rsid w:val="00D3276C"/>
    <w:rsid w:val="00D3336A"/>
    <w:rsid w:val="00D36006"/>
    <w:rsid w:val="00D36B33"/>
    <w:rsid w:val="00D37B62"/>
    <w:rsid w:val="00D40D3F"/>
    <w:rsid w:val="00D414BE"/>
    <w:rsid w:val="00D4247B"/>
    <w:rsid w:val="00D42CCE"/>
    <w:rsid w:val="00D43202"/>
    <w:rsid w:val="00D432B8"/>
    <w:rsid w:val="00D454EB"/>
    <w:rsid w:val="00D4780B"/>
    <w:rsid w:val="00D47BF9"/>
    <w:rsid w:val="00D507F6"/>
    <w:rsid w:val="00D50ECC"/>
    <w:rsid w:val="00D52ECD"/>
    <w:rsid w:val="00D53F96"/>
    <w:rsid w:val="00D5663C"/>
    <w:rsid w:val="00D57D73"/>
    <w:rsid w:val="00D61663"/>
    <w:rsid w:val="00D61936"/>
    <w:rsid w:val="00D63589"/>
    <w:rsid w:val="00D636B8"/>
    <w:rsid w:val="00D65B46"/>
    <w:rsid w:val="00D7050E"/>
    <w:rsid w:val="00D70C8D"/>
    <w:rsid w:val="00D73E6A"/>
    <w:rsid w:val="00D7575F"/>
    <w:rsid w:val="00D76E34"/>
    <w:rsid w:val="00D77BDA"/>
    <w:rsid w:val="00D77D4A"/>
    <w:rsid w:val="00D77E35"/>
    <w:rsid w:val="00D77F49"/>
    <w:rsid w:val="00D815C3"/>
    <w:rsid w:val="00D82BEE"/>
    <w:rsid w:val="00D83A01"/>
    <w:rsid w:val="00D83D3E"/>
    <w:rsid w:val="00D86B59"/>
    <w:rsid w:val="00D904FA"/>
    <w:rsid w:val="00D90FE0"/>
    <w:rsid w:val="00D91033"/>
    <w:rsid w:val="00D92694"/>
    <w:rsid w:val="00D926AC"/>
    <w:rsid w:val="00D92D7F"/>
    <w:rsid w:val="00D93C6E"/>
    <w:rsid w:val="00D947ED"/>
    <w:rsid w:val="00D94BEA"/>
    <w:rsid w:val="00D94C7F"/>
    <w:rsid w:val="00D956D7"/>
    <w:rsid w:val="00D95FD7"/>
    <w:rsid w:val="00D9630F"/>
    <w:rsid w:val="00D9795B"/>
    <w:rsid w:val="00D97A1F"/>
    <w:rsid w:val="00DA00D4"/>
    <w:rsid w:val="00DA0DED"/>
    <w:rsid w:val="00DA2025"/>
    <w:rsid w:val="00DA207B"/>
    <w:rsid w:val="00DA2206"/>
    <w:rsid w:val="00DA3687"/>
    <w:rsid w:val="00DA7487"/>
    <w:rsid w:val="00DA7E7B"/>
    <w:rsid w:val="00DB09BE"/>
    <w:rsid w:val="00DB1B12"/>
    <w:rsid w:val="00DB1FEF"/>
    <w:rsid w:val="00DB275C"/>
    <w:rsid w:val="00DB341D"/>
    <w:rsid w:val="00DB3910"/>
    <w:rsid w:val="00DB44C2"/>
    <w:rsid w:val="00DB7752"/>
    <w:rsid w:val="00DC3576"/>
    <w:rsid w:val="00DC6493"/>
    <w:rsid w:val="00DD0C8A"/>
    <w:rsid w:val="00DD3606"/>
    <w:rsid w:val="00DD6FBF"/>
    <w:rsid w:val="00DD7821"/>
    <w:rsid w:val="00DE0F2F"/>
    <w:rsid w:val="00DE2113"/>
    <w:rsid w:val="00DE3A97"/>
    <w:rsid w:val="00DE4D6D"/>
    <w:rsid w:val="00DE5198"/>
    <w:rsid w:val="00DE6591"/>
    <w:rsid w:val="00DE6989"/>
    <w:rsid w:val="00DE72FD"/>
    <w:rsid w:val="00DE74F9"/>
    <w:rsid w:val="00DE7704"/>
    <w:rsid w:val="00DE77FA"/>
    <w:rsid w:val="00DE7878"/>
    <w:rsid w:val="00DF10E8"/>
    <w:rsid w:val="00DF36C0"/>
    <w:rsid w:val="00DF4556"/>
    <w:rsid w:val="00DF7CD6"/>
    <w:rsid w:val="00E00628"/>
    <w:rsid w:val="00E0098B"/>
    <w:rsid w:val="00E031A9"/>
    <w:rsid w:val="00E0347E"/>
    <w:rsid w:val="00E0645A"/>
    <w:rsid w:val="00E06AC1"/>
    <w:rsid w:val="00E06C36"/>
    <w:rsid w:val="00E077E3"/>
    <w:rsid w:val="00E07905"/>
    <w:rsid w:val="00E10169"/>
    <w:rsid w:val="00E12A01"/>
    <w:rsid w:val="00E12CAC"/>
    <w:rsid w:val="00E1613A"/>
    <w:rsid w:val="00E17CF9"/>
    <w:rsid w:val="00E204CC"/>
    <w:rsid w:val="00E20A0B"/>
    <w:rsid w:val="00E22FE9"/>
    <w:rsid w:val="00E2389D"/>
    <w:rsid w:val="00E23E3E"/>
    <w:rsid w:val="00E240CE"/>
    <w:rsid w:val="00E2539D"/>
    <w:rsid w:val="00E25BFF"/>
    <w:rsid w:val="00E25CAA"/>
    <w:rsid w:val="00E27AE1"/>
    <w:rsid w:val="00E31D6E"/>
    <w:rsid w:val="00E33FFD"/>
    <w:rsid w:val="00E3441D"/>
    <w:rsid w:val="00E34458"/>
    <w:rsid w:val="00E36817"/>
    <w:rsid w:val="00E36C3F"/>
    <w:rsid w:val="00E413C7"/>
    <w:rsid w:val="00E422D4"/>
    <w:rsid w:val="00E42A20"/>
    <w:rsid w:val="00E43923"/>
    <w:rsid w:val="00E43955"/>
    <w:rsid w:val="00E44644"/>
    <w:rsid w:val="00E46092"/>
    <w:rsid w:val="00E479B8"/>
    <w:rsid w:val="00E507CE"/>
    <w:rsid w:val="00E50BE8"/>
    <w:rsid w:val="00E52490"/>
    <w:rsid w:val="00E53C58"/>
    <w:rsid w:val="00E5455E"/>
    <w:rsid w:val="00E54C9C"/>
    <w:rsid w:val="00E54FCB"/>
    <w:rsid w:val="00E55B21"/>
    <w:rsid w:val="00E56322"/>
    <w:rsid w:val="00E5737D"/>
    <w:rsid w:val="00E5760F"/>
    <w:rsid w:val="00E57B02"/>
    <w:rsid w:val="00E60F35"/>
    <w:rsid w:val="00E61598"/>
    <w:rsid w:val="00E629DD"/>
    <w:rsid w:val="00E64E3F"/>
    <w:rsid w:val="00E64F25"/>
    <w:rsid w:val="00E653B9"/>
    <w:rsid w:val="00E67BBB"/>
    <w:rsid w:val="00E70168"/>
    <w:rsid w:val="00E72585"/>
    <w:rsid w:val="00E72FAA"/>
    <w:rsid w:val="00E738F6"/>
    <w:rsid w:val="00E73E21"/>
    <w:rsid w:val="00E74119"/>
    <w:rsid w:val="00E76247"/>
    <w:rsid w:val="00E77BE2"/>
    <w:rsid w:val="00E8120E"/>
    <w:rsid w:val="00E81A64"/>
    <w:rsid w:val="00E81ADF"/>
    <w:rsid w:val="00E82014"/>
    <w:rsid w:val="00E820BB"/>
    <w:rsid w:val="00E82BDF"/>
    <w:rsid w:val="00E83712"/>
    <w:rsid w:val="00E83962"/>
    <w:rsid w:val="00E84B37"/>
    <w:rsid w:val="00E84C38"/>
    <w:rsid w:val="00E879CE"/>
    <w:rsid w:val="00E90196"/>
    <w:rsid w:val="00E91D68"/>
    <w:rsid w:val="00E93938"/>
    <w:rsid w:val="00E94E19"/>
    <w:rsid w:val="00E95B7D"/>
    <w:rsid w:val="00E95C17"/>
    <w:rsid w:val="00E970AC"/>
    <w:rsid w:val="00E97A63"/>
    <w:rsid w:val="00EA016F"/>
    <w:rsid w:val="00EA0A81"/>
    <w:rsid w:val="00EA0F6D"/>
    <w:rsid w:val="00EA161A"/>
    <w:rsid w:val="00EA3335"/>
    <w:rsid w:val="00EA6293"/>
    <w:rsid w:val="00EA675A"/>
    <w:rsid w:val="00EA680E"/>
    <w:rsid w:val="00EA6F80"/>
    <w:rsid w:val="00EB0290"/>
    <w:rsid w:val="00EB0766"/>
    <w:rsid w:val="00EB10D2"/>
    <w:rsid w:val="00EB126F"/>
    <w:rsid w:val="00EB1A79"/>
    <w:rsid w:val="00EB27B4"/>
    <w:rsid w:val="00EB4359"/>
    <w:rsid w:val="00EB45A2"/>
    <w:rsid w:val="00EB470B"/>
    <w:rsid w:val="00EB4941"/>
    <w:rsid w:val="00EB6AD2"/>
    <w:rsid w:val="00EB7012"/>
    <w:rsid w:val="00EC12C4"/>
    <w:rsid w:val="00EC2BF7"/>
    <w:rsid w:val="00EC2F09"/>
    <w:rsid w:val="00EC4389"/>
    <w:rsid w:val="00EC60EB"/>
    <w:rsid w:val="00EC69BC"/>
    <w:rsid w:val="00EC7800"/>
    <w:rsid w:val="00ED1E61"/>
    <w:rsid w:val="00ED210A"/>
    <w:rsid w:val="00ED23D5"/>
    <w:rsid w:val="00ED2930"/>
    <w:rsid w:val="00ED2D70"/>
    <w:rsid w:val="00ED3577"/>
    <w:rsid w:val="00ED3EF0"/>
    <w:rsid w:val="00ED5AD3"/>
    <w:rsid w:val="00ED5FE3"/>
    <w:rsid w:val="00ED61FC"/>
    <w:rsid w:val="00ED6F20"/>
    <w:rsid w:val="00ED7173"/>
    <w:rsid w:val="00EE0851"/>
    <w:rsid w:val="00EE115E"/>
    <w:rsid w:val="00EE2BB7"/>
    <w:rsid w:val="00EE3EF6"/>
    <w:rsid w:val="00EE421F"/>
    <w:rsid w:val="00EE4545"/>
    <w:rsid w:val="00EE5210"/>
    <w:rsid w:val="00EE54B4"/>
    <w:rsid w:val="00EE7ABB"/>
    <w:rsid w:val="00EF75BA"/>
    <w:rsid w:val="00F01F35"/>
    <w:rsid w:val="00F03045"/>
    <w:rsid w:val="00F03BA7"/>
    <w:rsid w:val="00F06ECE"/>
    <w:rsid w:val="00F078A9"/>
    <w:rsid w:val="00F07C9A"/>
    <w:rsid w:val="00F1042F"/>
    <w:rsid w:val="00F10835"/>
    <w:rsid w:val="00F1184E"/>
    <w:rsid w:val="00F1288D"/>
    <w:rsid w:val="00F12C89"/>
    <w:rsid w:val="00F134C0"/>
    <w:rsid w:val="00F14A8C"/>
    <w:rsid w:val="00F15C66"/>
    <w:rsid w:val="00F17C7F"/>
    <w:rsid w:val="00F214E4"/>
    <w:rsid w:val="00F23545"/>
    <w:rsid w:val="00F259CC"/>
    <w:rsid w:val="00F26360"/>
    <w:rsid w:val="00F26623"/>
    <w:rsid w:val="00F26717"/>
    <w:rsid w:val="00F348DA"/>
    <w:rsid w:val="00F34E96"/>
    <w:rsid w:val="00F34EBB"/>
    <w:rsid w:val="00F40974"/>
    <w:rsid w:val="00F42FC3"/>
    <w:rsid w:val="00F4460D"/>
    <w:rsid w:val="00F447DB"/>
    <w:rsid w:val="00F44DFA"/>
    <w:rsid w:val="00F45247"/>
    <w:rsid w:val="00F478C6"/>
    <w:rsid w:val="00F47B06"/>
    <w:rsid w:val="00F540F0"/>
    <w:rsid w:val="00F55A30"/>
    <w:rsid w:val="00F562AC"/>
    <w:rsid w:val="00F60468"/>
    <w:rsid w:val="00F60D81"/>
    <w:rsid w:val="00F6273D"/>
    <w:rsid w:val="00F62F2B"/>
    <w:rsid w:val="00F634F0"/>
    <w:rsid w:val="00F64DC8"/>
    <w:rsid w:val="00F64FB3"/>
    <w:rsid w:val="00F66362"/>
    <w:rsid w:val="00F664B7"/>
    <w:rsid w:val="00F66ABD"/>
    <w:rsid w:val="00F66F67"/>
    <w:rsid w:val="00F67508"/>
    <w:rsid w:val="00F67659"/>
    <w:rsid w:val="00F67B2C"/>
    <w:rsid w:val="00F67D17"/>
    <w:rsid w:val="00F702B9"/>
    <w:rsid w:val="00F7223E"/>
    <w:rsid w:val="00F7286B"/>
    <w:rsid w:val="00F742FB"/>
    <w:rsid w:val="00F74C12"/>
    <w:rsid w:val="00F75455"/>
    <w:rsid w:val="00F75F09"/>
    <w:rsid w:val="00F76569"/>
    <w:rsid w:val="00F77724"/>
    <w:rsid w:val="00F82DCC"/>
    <w:rsid w:val="00F8371E"/>
    <w:rsid w:val="00F84C84"/>
    <w:rsid w:val="00F84D57"/>
    <w:rsid w:val="00F84DD0"/>
    <w:rsid w:val="00F85E38"/>
    <w:rsid w:val="00F87468"/>
    <w:rsid w:val="00F87BD7"/>
    <w:rsid w:val="00F90B3C"/>
    <w:rsid w:val="00F94218"/>
    <w:rsid w:val="00F94DC0"/>
    <w:rsid w:val="00F95245"/>
    <w:rsid w:val="00F9593A"/>
    <w:rsid w:val="00F95E4F"/>
    <w:rsid w:val="00F9776E"/>
    <w:rsid w:val="00FA0324"/>
    <w:rsid w:val="00FA1379"/>
    <w:rsid w:val="00FA19C3"/>
    <w:rsid w:val="00FA294D"/>
    <w:rsid w:val="00FA2AD7"/>
    <w:rsid w:val="00FA4A21"/>
    <w:rsid w:val="00FA6E0F"/>
    <w:rsid w:val="00FB04E9"/>
    <w:rsid w:val="00FB067C"/>
    <w:rsid w:val="00FB0744"/>
    <w:rsid w:val="00FB2694"/>
    <w:rsid w:val="00FB2FC1"/>
    <w:rsid w:val="00FB44AE"/>
    <w:rsid w:val="00FB4A48"/>
    <w:rsid w:val="00FB4CDA"/>
    <w:rsid w:val="00FB5FC9"/>
    <w:rsid w:val="00FB6240"/>
    <w:rsid w:val="00FB63D4"/>
    <w:rsid w:val="00FB7791"/>
    <w:rsid w:val="00FC28C1"/>
    <w:rsid w:val="00FC3097"/>
    <w:rsid w:val="00FC33A5"/>
    <w:rsid w:val="00FC3705"/>
    <w:rsid w:val="00FC4D2D"/>
    <w:rsid w:val="00FC6092"/>
    <w:rsid w:val="00FC711E"/>
    <w:rsid w:val="00FD07E2"/>
    <w:rsid w:val="00FD1265"/>
    <w:rsid w:val="00FD1457"/>
    <w:rsid w:val="00FD19BE"/>
    <w:rsid w:val="00FD2586"/>
    <w:rsid w:val="00FD2BF6"/>
    <w:rsid w:val="00FD3998"/>
    <w:rsid w:val="00FD496F"/>
    <w:rsid w:val="00FD4E83"/>
    <w:rsid w:val="00FD547B"/>
    <w:rsid w:val="00FD5982"/>
    <w:rsid w:val="00FD6E4E"/>
    <w:rsid w:val="00FE0511"/>
    <w:rsid w:val="00FE14E7"/>
    <w:rsid w:val="00FE3530"/>
    <w:rsid w:val="00FE38F3"/>
    <w:rsid w:val="00FE43CD"/>
    <w:rsid w:val="00FE559A"/>
    <w:rsid w:val="00FE5908"/>
    <w:rsid w:val="00FE5BC7"/>
    <w:rsid w:val="00FE6BA3"/>
    <w:rsid w:val="00FE6BE7"/>
    <w:rsid w:val="00FE7105"/>
    <w:rsid w:val="00FE7634"/>
    <w:rsid w:val="00FF00F0"/>
    <w:rsid w:val="00FF02F7"/>
    <w:rsid w:val="00FF231A"/>
    <w:rsid w:val="00FF3040"/>
    <w:rsid w:val="00FF3CD2"/>
    <w:rsid w:val="00FF3FA2"/>
    <w:rsid w:val="00FF5E7C"/>
    <w:rsid w:val="00FF702F"/>
    <w:rsid w:val="00FF76BB"/>
    <w:rsid w:val="010E1EC8"/>
    <w:rsid w:val="015A15C6"/>
    <w:rsid w:val="015B7B3A"/>
    <w:rsid w:val="017944E3"/>
    <w:rsid w:val="01844D0C"/>
    <w:rsid w:val="02352850"/>
    <w:rsid w:val="024531CF"/>
    <w:rsid w:val="02656FD2"/>
    <w:rsid w:val="028F6481"/>
    <w:rsid w:val="029B353C"/>
    <w:rsid w:val="02AA2C24"/>
    <w:rsid w:val="02AE768B"/>
    <w:rsid w:val="02C80F58"/>
    <w:rsid w:val="03202779"/>
    <w:rsid w:val="03353D27"/>
    <w:rsid w:val="033C3FDC"/>
    <w:rsid w:val="034C515D"/>
    <w:rsid w:val="03DE1436"/>
    <w:rsid w:val="03F5128D"/>
    <w:rsid w:val="043D39C1"/>
    <w:rsid w:val="0463306E"/>
    <w:rsid w:val="048215F8"/>
    <w:rsid w:val="04B75D3F"/>
    <w:rsid w:val="04B96CBA"/>
    <w:rsid w:val="05CA5A07"/>
    <w:rsid w:val="05CA6EE3"/>
    <w:rsid w:val="05F35476"/>
    <w:rsid w:val="060869E9"/>
    <w:rsid w:val="06101F3B"/>
    <w:rsid w:val="0644782A"/>
    <w:rsid w:val="064D73CF"/>
    <w:rsid w:val="0681464F"/>
    <w:rsid w:val="06E3113C"/>
    <w:rsid w:val="06E55448"/>
    <w:rsid w:val="071B18D7"/>
    <w:rsid w:val="073B7ABF"/>
    <w:rsid w:val="07464A8A"/>
    <w:rsid w:val="07496BAC"/>
    <w:rsid w:val="076B5C4A"/>
    <w:rsid w:val="07BE1A17"/>
    <w:rsid w:val="083642C8"/>
    <w:rsid w:val="08406399"/>
    <w:rsid w:val="085B6024"/>
    <w:rsid w:val="08740D54"/>
    <w:rsid w:val="089656B0"/>
    <w:rsid w:val="08CF7A81"/>
    <w:rsid w:val="09427AF7"/>
    <w:rsid w:val="09717723"/>
    <w:rsid w:val="097E4641"/>
    <w:rsid w:val="09B80056"/>
    <w:rsid w:val="09D14703"/>
    <w:rsid w:val="09E01D9D"/>
    <w:rsid w:val="0A7E72F3"/>
    <w:rsid w:val="0A951CC1"/>
    <w:rsid w:val="0AA005FF"/>
    <w:rsid w:val="0AA81227"/>
    <w:rsid w:val="0AAB4076"/>
    <w:rsid w:val="0AC53B39"/>
    <w:rsid w:val="0ADA1348"/>
    <w:rsid w:val="0B30370C"/>
    <w:rsid w:val="0B844036"/>
    <w:rsid w:val="0B976F06"/>
    <w:rsid w:val="0B9C6664"/>
    <w:rsid w:val="0BCF6645"/>
    <w:rsid w:val="0BD663B0"/>
    <w:rsid w:val="0BDE6348"/>
    <w:rsid w:val="0BE6438C"/>
    <w:rsid w:val="0C31761D"/>
    <w:rsid w:val="0C4D233B"/>
    <w:rsid w:val="0C6374C4"/>
    <w:rsid w:val="0CC83555"/>
    <w:rsid w:val="0CFA4437"/>
    <w:rsid w:val="0D245F3E"/>
    <w:rsid w:val="0D446E7E"/>
    <w:rsid w:val="0D811A1D"/>
    <w:rsid w:val="0D967B78"/>
    <w:rsid w:val="0DA379BB"/>
    <w:rsid w:val="0E276E03"/>
    <w:rsid w:val="0E2A4CD7"/>
    <w:rsid w:val="0E2D11AD"/>
    <w:rsid w:val="0E314F28"/>
    <w:rsid w:val="0E682D84"/>
    <w:rsid w:val="0EB66D8B"/>
    <w:rsid w:val="0F1C37D4"/>
    <w:rsid w:val="0F387796"/>
    <w:rsid w:val="0F3D6EB8"/>
    <w:rsid w:val="0F8077D1"/>
    <w:rsid w:val="0FDC7DD6"/>
    <w:rsid w:val="0FDF6D28"/>
    <w:rsid w:val="0FEF019C"/>
    <w:rsid w:val="0FFE7BF9"/>
    <w:rsid w:val="1025476F"/>
    <w:rsid w:val="106F0647"/>
    <w:rsid w:val="10947F74"/>
    <w:rsid w:val="109F5D3B"/>
    <w:rsid w:val="10B3519C"/>
    <w:rsid w:val="10C32008"/>
    <w:rsid w:val="10D84CC4"/>
    <w:rsid w:val="11195588"/>
    <w:rsid w:val="11782E06"/>
    <w:rsid w:val="11A24232"/>
    <w:rsid w:val="11E97189"/>
    <w:rsid w:val="11EF7DD2"/>
    <w:rsid w:val="120E777D"/>
    <w:rsid w:val="12502F5C"/>
    <w:rsid w:val="12527DE5"/>
    <w:rsid w:val="127808F8"/>
    <w:rsid w:val="12847BAD"/>
    <w:rsid w:val="12962F2B"/>
    <w:rsid w:val="12EE65BB"/>
    <w:rsid w:val="12F9074A"/>
    <w:rsid w:val="133C258F"/>
    <w:rsid w:val="137809CE"/>
    <w:rsid w:val="138E2D60"/>
    <w:rsid w:val="13BD2DC4"/>
    <w:rsid w:val="13C84DE5"/>
    <w:rsid w:val="13C87058"/>
    <w:rsid w:val="13E01789"/>
    <w:rsid w:val="14013F61"/>
    <w:rsid w:val="14126C3E"/>
    <w:rsid w:val="143B2E41"/>
    <w:rsid w:val="1468515F"/>
    <w:rsid w:val="146E6376"/>
    <w:rsid w:val="14707A1E"/>
    <w:rsid w:val="147B2DAC"/>
    <w:rsid w:val="14B66EFB"/>
    <w:rsid w:val="15054DB7"/>
    <w:rsid w:val="15126CA2"/>
    <w:rsid w:val="151F5A1C"/>
    <w:rsid w:val="15225F18"/>
    <w:rsid w:val="15236E83"/>
    <w:rsid w:val="153145E3"/>
    <w:rsid w:val="1552488C"/>
    <w:rsid w:val="155F7FDF"/>
    <w:rsid w:val="15686062"/>
    <w:rsid w:val="15797764"/>
    <w:rsid w:val="15991908"/>
    <w:rsid w:val="159C3577"/>
    <w:rsid w:val="15C9312F"/>
    <w:rsid w:val="15D346A7"/>
    <w:rsid w:val="1618015E"/>
    <w:rsid w:val="16423F74"/>
    <w:rsid w:val="16902449"/>
    <w:rsid w:val="169738DC"/>
    <w:rsid w:val="16A67643"/>
    <w:rsid w:val="16A67CCA"/>
    <w:rsid w:val="16AD328D"/>
    <w:rsid w:val="16D203B3"/>
    <w:rsid w:val="16DA1F40"/>
    <w:rsid w:val="17215061"/>
    <w:rsid w:val="173D0AAB"/>
    <w:rsid w:val="174B3945"/>
    <w:rsid w:val="17682049"/>
    <w:rsid w:val="17776C72"/>
    <w:rsid w:val="177A796D"/>
    <w:rsid w:val="17CA72D9"/>
    <w:rsid w:val="18137355"/>
    <w:rsid w:val="181876D9"/>
    <w:rsid w:val="18204B53"/>
    <w:rsid w:val="182941AF"/>
    <w:rsid w:val="18687224"/>
    <w:rsid w:val="18714D92"/>
    <w:rsid w:val="193E3C9F"/>
    <w:rsid w:val="19643A59"/>
    <w:rsid w:val="19914E8B"/>
    <w:rsid w:val="19B82867"/>
    <w:rsid w:val="19BD354E"/>
    <w:rsid w:val="19CC0C6C"/>
    <w:rsid w:val="19CE140D"/>
    <w:rsid w:val="19F8173D"/>
    <w:rsid w:val="1A275FA3"/>
    <w:rsid w:val="1A9377AB"/>
    <w:rsid w:val="1AAE6249"/>
    <w:rsid w:val="1ACB20C8"/>
    <w:rsid w:val="1AE40623"/>
    <w:rsid w:val="1B0C5694"/>
    <w:rsid w:val="1B57312E"/>
    <w:rsid w:val="1B60100F"/>
    <w:rsid w:val="1B663EEE"/>
    <w:rsid w:val="1B733AE8"/>
    <w:rsid w:val="1B933086"/>
    <w:rsid w:val="1B947C97"/>
    <w:rsid w:val="1BA0032F"/>
    <w:rsid w:val="1BC0586B"/>
    <w:rsid w:val="1BD77186"/>
    <w:rsid w:val="1BE95917"/>
    <w:rsid w:val="1C0A7360"/>
    <w:rsid w:val="1C0B7C4B"/>
    <w:rsid w:val="1C9B1DB4"/>
    <w:rsid w:val="1D2F4B5A"/>
    <w:rsid w:val="1D340265"/>
    <w:rsid w:val="1D68567A"/>
    <w:rsid w:val="1DA57F6C"/>
    <w:rsid w:val="1DD71475"/>
    <w:rsid w:val="1E1F7AC3"/>
    <w:rsid w:val="1E3C3CBF"/>
    <w:rsid w:val="1E4179E3"/>
    <w:rsid w:val="1E462FFA"/>
    <w:rsid w:val="1E67432E"/>
    <w:rsid w:val="1E6F47B8"/>
    <w:rsid w:val="1E911565"/>
    <w:rsid w:val="1EA74F04"/>
    <w:rsid w:val="1EF37A47"/>
    <w:rsid w:val="1EFE4CE5"/>
    <w:rsid w:val="1F0B4ACB"/>
    <w:rsid w:val="1F2C523E"/>
    <w:rsid w:val="1F370C8C"/>
    <w:rsid w:val="1F502B79"/>
    <w:rsid w:val="1F513B05"/>
    <w:rsid w:val="1F6D6037"/>
    <w:rsid w:val="1F8E4346"/>
    <w:rsid w:val="1FE36477"/>
    <w:rsid w:val="1FE56775"/>
    <w:rsid w:val="1FFE67E5"/>
    <w:rsid w:val="20427E14"/>
    <w:rsid w:val="20586C6A"/>
    <w:rsid w:val="208A3AF0"/>
    <w:rsid w:val="208E3622"/>
    <w:rsid w:val="2113354A"/>
    <w:rsid w:val="2129523D"/>
    <w:rsid w:val="2183233A"/>
    <w:rsid w:val="21B80AD5"/>
    <w:rsid w:val="21ED7BB4"/>
    <w:rsid w:val="22017C20"/>
    <w:rsid w:val="22113945"/>
    <w:rsid w:val="22555B28"/>
    <w:rsid w:val="22A63560"/>
    <w:rsid w:val="22E5071C"/>
    <w:rsid w:val="22EE7483"/>
    <w:rsid w:val="230C5815"/>
    <w:rsid w:val="23387644"/>
    <w:rsid w:val="234A2877"/>
    <w:rsid w:val="23731E41"/>
    <w:rsid w:val="23852F24"/>
    <w:rsid w:val="239756BF"/>
    <w:rsid w:val="23B06E36"/>
    <w:rsid w:val="24122463"/>
    <w:rsid w:val="24283062"/>
    <w:rsid w:val="2437371F"/>
    <w:rsid w:val="243D70EA"/>
    <w:rsid w:val="24566543"/>
    <w:rsid w:val="248669AA"/>
    <w:rsid w:val="24A05D7F"/>
    <w:rsid w:val="24C3333D"/>
    <w:rsid w:val="24D309AE"/>
    <w:rsid w:val="25233633"/>
    <w:rsid w:val="254628CB"/>
    <w:rsid w:val="25466F66"/>
    <w:rsid w:val="256622E7"/>
    <w:rsid w:val="25747013"/>
    <w:rsid w:val="25920BC5"/>
    <w:rsid w:val="2599418E"/>
    <w:rsid w:val="25B124E5"/>
    <w:rsid w:val="25CC5E90"/>
    <w:rsid w:val="2600295C"/>
    <w:rsid w:val="260A188B"/>
    <w:rsid w:val="26102274"/>
    <w:rsid w:val="26303855"/>
    <w:rsid w:val="266C765E"/>
    <w:rsid w:val="26852CA5"/>
    <w:rsid w:val="268B66DF"/>
    <w:rsid w:val="26B36CAC"/>
    <w:rsid w:val="26EA7F7F"/>
    <w:rsid w:val="26F144A4"/>
    <w:rsid w:val="26F57D3E"/>
    <w:rsid w:val="26F821AB"/>
    <w:rsid w:val="276062CB"/>
    <w:rsid w:val="27A75802"/>
    <w:rsid w:val="27C52B73"/>
    <w:rsid w:val="27FF41C2"/>
    <w:rsid w:val="280737E0"/>
    <w:rsid w:val="280B63A1"/>
    <w:rsid w:val="28130C9E"/>
    <w:rsid w:val="28310BB2"/>
    <w:rsid w:val="288A32EA"/>
    <w:rsid w:val="290158F8"/>
    <w:rsid w:val="291A5D59"/>
    <w:rsid w:val="291F12E7"/>
    <w:rsid w:val="293D4B81"/>
    <w:rsid w:val="294F7E0D"/>
    <w:rsid w:val="2953259A"/>
    <w:rsid w:val="295D1250"/>
    <w:rsid w:val="296C6780"/>
    <w:rsid w:val="29D3555C"/>
    <w:rsid w:val="29F96AF7"/>
    <w:rsid w:val="2A0B7BAE"/>
    <w:rsid w:val="2A681EE1"/>
    <w:rsid w:val="2AB43B36"/>
    <w:rsid w:val="2ABB4FF3"/>
    <w:rsid w:val="2AE71DF0"/>
    <w:rsid w:val="2B0C51DC"/>
    <w:rsid w:val="2B212CF3"/>
    <w:rsid w:val="2B71675B"/>
    <w:rsid w:val="2B7B193B"/>
    <w:rsid w:val="2BE27C0C"/>
    <w:rsid w:val="2BEE6822"/>
    <w:rsid w:val="2C0C7241"/>
    <w:rsid w:val="2C1727DA"/>
    <w:rsid w:val="2C594FF5"/>
    <w:rsid w:val="2C8C4CB6"/>
    <w:rsid w:val="2D1C4F65"/>
    <w:rsid w:val="2D2548F0"/>
    <w:rsid w:val="2D3034C0"/>
    <w:rsid w:val="2D596FBE"/>
    <w:rsid w:val="2D625C4A"/>
    <w:rsid w:val="2D6F22A9"/>
    <w:rsid w:val="2DB31894"/>
    <w:rsid w:val="2DE3014C"/>
    <w:rsid w:val="2DFC08DA"/>
    <w:rsid w:val="2E3B0BAE"/>
    <w:rsid w:val="2E6F4096"/>
    <w:rsid w:val="2EC91500"/>
    <w:rsid w:val="2EE47F72"/>
    <w:rsid w:val="2FAA583B"/>
    <w:rsid w:val="2FB8473A"/>
    <w:rsid w:val="2FBE10A5"/>
    <w:rsid w:val="300777EA"/>
    <w:rsid w:val="30B360F4"/>
    <w:rsid w:val="30FA08A2"/>
    <w:rsid w:val="311B3CC2"/>
    <w:rsid w:val="31261EAD"/>
    <w:rsid w:val="316B42A8"/>
    <w:rsid w:val="31A00EF1"/>
    <w:rsid w:val="31F4276F"/>
    <w:rsid w:val="322D08E3"/>
    <w:rsid w:val="328D289B"/>
    <w:rsid w:val="32AB7878"/>
    <w:rsid w:val="32D928D3"/>
    <w:rsid w:val="33094E77"/>
    <w:rsid w:val="33BD3817"/>
    <w:rsid w:val="33D23A93"/>
    <w:rsid w:val="33EC4A4A"/>
    <w:rsid w:val="341F266E"/>
    <w:rsid w:val="347607AB"/>
    <w:rsid w:val="34B249E3"/>
    <w:rsid w:val="34C21229"/>
    <w:rsid w:val="34C54AF4"/>
    <w:rsid w:val="35070F0D"/>
    <w:rsid w:val="350723B0"/>
    <w:rsid w:val="35395B68"/>
    <w:rsid w:val="35441936"/>
    <w:rsid w:val="35740C1C"/>
    <w:rsid w:val="3582311B"/>
    <w:rsid w:val="3589504D"/>
    <w:rsid w:val="35B15F93"/>
    <w:rsid w:val="35B32DB7"/>
    <w:rsid w:val="35BC75A9"/>
    <w:rsid w:val="35DA69A2"/>
    <w:rsid w:val="35F13A8D"/>
    <w:rsid w:val="36313A90"/>
    <w:rsid w:val="36435E5E"/>
    <w:rsid w:val="36622A6B"/>
    <w:rsid w:val="368444B3"/>
    <w:rsid w:val="36995655"/>
    <w:rsid w:val="36DB484B"/>
    <w:rsid w:val="36F50065"/>
    <w:rsid w:val="37235D80"/>
    <w:rsid w:val="37392A04"/>
    <w:rsid w:val="3783605E"/>
    <w:rsid w:val="37B04F7E"/>
    <w:rsid w:val="37CC18AF"/>
    <w:rsid w:val="37E97A55"/>
    <w:rsid w:val="38014AF2"/>
    <w:rsid w:val="383F4BC2"/>
    <w:rsid w:val="3843357E"/>
    <w:rsid w:val="389069D0"/>
    <w:rsid w:val="389F1E16"/>
    <w:rsid w:val="38B44AC2"/>
    <w:rsid w:val="39081848"/>
    <w:rsid w:val="3917507D"/>
    <w:rsid w:val="39275F79"/>
    <w:rsid w:val="39444BCE"/>
    <w:rsid w:val="396A272B"/>
    <w:rsid w:val="396E0B6C"/>
    <w:rsid w:val="397A37B3"/>
    <w:rsid w:val="399026C5"/>
    <w:rsid w:val="39A61C27"/>
    <w:rsid w:val="39E666C0"/>
    <w:rsid w:val="39F12A87"/>
    <w:rsid w:val="39F94D75"/>
    <w:rsid w:val="3A0F7538"/>
    <w:rsid w:val="3A4E50DB"/>
    <w:rsid w:val="3A5162F8"/>
    <w:rsid w:val="3A6A4BEA"/>
    <w:rsid w:val="3AAF5655"/>
    <w:rsid w:val="3AB14963"/>
    <w:rsid w:val="3AFF66D9"/>
    <w:rsid w:val="3BC50672"/>
    <w:rsid w:val="3BF91325"/>
    <w:rsid w:val="3BFC5ADE"/>
    <w:rsid w:val="3C043F8C"/>
    <w:rsid w:val="3C0C3393"/>
    <w:rsid w:val="3C2F4C16"/>
    <w:rsid w:val="3C671761"/>
    <w:rsid w:val="3C6B6302"/>
    <w:rsid w:val="3C8B321F"/>
    <w:rsid w:val="3CA62463"/>
    <w:rsid w:val="3CA864DA"/>
    <w:rsid w:val="3CAA65E6"/>
    <w:rsid w:val="3CAC0137"/>
    <w:rsid w:val="3D1D6027"/>
    <w:rsid w:val="3D532352"/>
    <w:rsid w:val="3D5D2173"/>
    <w:rsid w:val="3D773D69"/>
    <w:rsid w:val="3D915B37"/>
    <w:rsid w:val="3E016394"/>
    <w:rsid w:val="3E056CDB"/>
    <w:rsid w:val="3E413D7D"/>
    <w:rsid w:val="3E657206"/>
    <w:rsid w:val="3E766F05"/>
    <w:rsid w:val="3E914E4D"/>
    <w:rsid w:val="3EB74176"/>
    <w:rsid w:val="3EBB24EB"/>
    <w:rsid w:val="3EEA60D4"/>
    <w:rsid w:val="3F0B6C7E"/>
    <w:rsid w:val="3F154393"/>
    <w:rsid w:val="3F433241"/>
    <w:rsid w:val="3F5A6462"/>
    <w:rsid w:val="3FA42D9D"/>
    <w:rsid w:val="3FDD25B9"/>
    <w:rsid w:val="40195EF4"/>
    <w:rsid w:val="40554B53"/>
    <w:rsid w:val="407B3020"/>
    <w:rsid w:val="40C31662"/>
    <w:rsid w:val="413F5E1D"/>
    <w:rsid w:val="414B5538"/>
    <w:rsid w:val="414D23FA"/>
    <w:rsid w:val="415A668C"/>
    <w:rsid w:val="417575F2"/>
    <w:rsid w:val="41A53056"/>
    <w:rsid w:val="41C110C5"/>
    <w:rsid w:val="42033BAD"/>
    <w:rsid w:val="420B683F"/>
    <w:rsid w:val="420D032C"/>
    <w:rsid w:val="421E2A7B"/>
    <w:rsid w:val="421F18E9"/>
    <w:rsid w:val="427A5DC6"/>
    <w:rsid w:val="429C5F8F"/>
    <w:rsid w:val="430F6213"/>
    <w:rsid w:val="431C6671"/>
    <w:rsid w:val="43836A7F"/>
    <w:rsid w:val="43D01733"/>
    <w:rsid w:val="43E45CEF"/>
    <w:rsid w:val="43EF30A9"/>
    <w:rsid w:val="440816B6"/>
    <w:rsid w:val="44155BCE"/>
    <w:rsid w:val="442C4D39"/>
    <w:rsid w:val="443A78DB"/>
    <w:rsid w:val="44423450"/>
    <w:rsid w:val="446D00C1"/>
    <w:rsid w:val="44AA6B07"/>
    <w:rsid w:val="44C56E13"/>
    <w:rsid w:val="44CE120C"/>
    <w:rsid w:val="44D50166"/>
    <w:rsid w:val="44E11BD4"/>
    <w:rsid w:val="45411DE6"/>
    <w:rsid w:val="454A49E5"/>
    <w:rsid w:val="45636BEC"/>
    <w:rsid w:val="4564330F"/>
    <w:rsid w:val="45655C58"/>
    <w:rsid w:val="45715C8C"/>
    <w:rsid w:val="45722208"/>
    <w:rsid w:val="45973149"/>
    <w:rsid w:val="45D22D24"/>
    <w:rsid w:val="46000B8A"/>
    <w:rsid w:val="46275221"/>
    <w:rsid w:val="4664591A"/>
    <w:rsid w:val="46714385"/>
    <w:rsid w:val="46AA3DC5"/>
    <w:rsid w:val="46B16C89"/>
    <w:rsid w:val="4722278E"/>
    <w:rsid w:val="478F53AF"/>
    <w:rsid w:val="47B43B57"/>
    <w:rsid w:val="47BA5095"/>
    <w:rsid w:val="47D95F5F"/>
    <w:rsid w:val="47E124BB"/>
    <w:rsid w:val="47E86299"/>
    <w:rsid w:val="48240FD5"/>
    <w:rsid w:val="48390FE3"/>
    <w:rsid w:val="484D589D"/>
    <w:rsid w:val="486E1CB0"/>
    <w:rsid w:val="48D16A05"/>
    <w:rsid w:val="48DB0AA8"/>
    <w:rsid w:val="48E675B5"/>
    <w:rsid w:val="48F00361"/>
    <w:rsid w:val="490618A4"/>
    <w:rsid w:val="49224F96"/>
    <w:rsid w:val="492F110B"/>
    <w:rsid w:val="493A48B5"/>
    <w:rsid w:val="49493C82"/>
    <w:rsid w:val="495B713C"/>
    <w:rsid w:val="499263C6"/>
    <w:rsid w:val="49962A27"/>
    <w:rsid w:val="499F1484"/>
    <w:rsid w:val="49D06A74"/>
    <w:rsid w:val="49D90D2D"/>
    <w:rsid w:val="49E5783D"/>
    <w:rsid w:val="4A1700E5"/>
    <w:rsid w:val="4A4E5B90"/>
    <w:rsid w:val="4A542279"/>
    <w:rsid w:val="4A5510B0"/>
    <w:rsid w:val="4A8A5F36"/>
    <w:rsid w:val="4AD80AC7"/>
    <w:rsid w:val="4AE64EA6"/>
    <w:rsid w:val="4AFC19F7"/>
    <w:rsid w:val="4B25495D"/>
    <w:rsid w:val="4B486ABC"/>
    <w:rsid w:val="4B9344E0"/>
    <w:rsid w:val="4B982148"/>
    <w:rsid w:val="4B9A62C7"/>
    <w:rsid w:val="4BC53A06"/>
    <w:rsid w:val="4C1C2393"/>
    <w:rsid w:val="4C6C03E8"/>
    <w:rsid w:val="4C892860"/>
    <w:rsid w:val="4CA93EB1"/>
    <w:rsid w:val="4CC97264"/>
    <w:rsid w:val="4CFF4044"/>
    <w:rsid w:val="4D221D9C"/>
    <w:rsid w:val="4D6E4A52"/>
    <w:rsid w:val="4D817BB7"/>
    <w:rsid w:val="4D9005B4"/>
    <w:rsid w:val="4E1F31F2"/>
    <w:rsid w:val="4E2410B8"/>
    <w:rsid w:val="4E3C64AA"/>
    <w:rsid w:val="4E4E55B4"/>
    <w:rsid w:val="4E595039"/>
    <w:rsid w:val="4E881701"/>
    <w:rsid w:val="4E94271C"/>
    <w:rsid w:val="4EB35B3B"/>
    <w:rsid w:val="4EC228FC"/>
    <w:rsid w:val="4ED95983"/>
    <w:rsid w:val="4F2913CA"/>
    <w:rsid w:val="4F456283"/>
    <w:rsid w:val="4F6B7B8B"/>
    <w:rsid w:val="4FDC2A99"/>
    <w:rsid w:val="4FF43EBB"/>
    <w:rsid w:val="50086653"/>
    <w:rsid w:val="50A01F70"/>
    <w:rsid w:val="50A4615B"/>
    <w:rsid w:val="50AA3600"/>
    <w:rsid w:val="50AD5408"/>
    <w:rsid w:val="511F408B"/>
    <w:rsid w:val="51317115"/>
    <w:rsid w:val="51546100"/>
    <w:rsid w:val="518142C2"/>
    <w:rsid w:val="518D61E4"/>
    <w:rsid w:val="51A6405B"/>
    <w:rsid w:val="51B30377"/>
    <w:rsid w:val="51D2257F"/>
    <w:rsid w:val="51DA6E0E"/>
    <w:rsid w:val="51E1715C"/>
    <w:rsid w:val="51F07EE3"/>
    <w:rsid w:val="523C7A5B"/>
    <w:rsid w:val="52502A52"/>
    <w:rsid w:val="52D75D01"/>
    <w:rsid w:val="52E24178"/>
    <w:rsid w:val="52E55408"/>
    <w:rsid w:val="531A1BE2"/>
    <w:rsid w:val="5323672F"/>
    <w:rsid w:val="53254CF5"/>
    <w:rsid w:val="53706EAE"/>
    <w:rsid w:val="537110C7"/>
    <w:rsid w:val="53BF4A14"/>
    <w:rsid w:val="53D30927"/>
    <w:rsid w:val="540F4820"/>
    <w:rsid w:val="5412213E"/>
    <w:rsid w:val="54172593"/>
    <w:rsid w:val="54506B12"/>
    <w:rsid w:val="54786C7B"/>
    <w:rsid w:val="548841F9"/>
    <w:rsid w:val="551D3900"/>
    <w:rsid w:val="5556588F"/>
    <w:rsid w:val="55DA1557"/>
    <w:rsid w:val="55FA605A"/>
    <w:rsid w:val="56012B52"/>
    <w:rsid w:val="565767A2"/>
    <w:rsid w:val="56696310"/>
    <w:rsid w:val="568F0A69"/>
    <w:rsid w:val="56A21F8C"/>
    <w:rsid w:val="56A807AF"/>
    <w:rsid w:val="56A85D06"/>
    <w:rsid w:val="56B7174F"/>
    <w:rsid w:val="56F94818"/>
    <w:rsid w:val="56FF72CE"/>
    <w:rsid w:val="57243C0B"/>
    <w:rsid w:val="579510C5"/>
    <w:rsid w:val="57C64985"/>
    <w:rsid w:val="58291D07"/>
    <w:rsid w:val="58362C58"/>
    <w:rsid w:val="5849319D"/>
    <w:rsid w:val="58894816"/>
    <w:rsid w:val="58CB787E"/>
    <w:rsid w:val="58D4078C"/>
    <w:rsid w:val="591945BB"/>
    <w:rsid w:val="599E5024"/>
    <w:rsid w:val="59CB737B"/>
    <w:rsid w:val="59D100BA"/>
    <w:rsid w:val="5A851489"/>
    <w:rsid w:val="5A9368BC"/>
    <w:rsid w:val="5AA36231"/>
    <w:rsid w:val="5ABB5472"/>
    <w:rsid w:val="5AD824EC"/>
    <w:rsid w:val="5B2179FC"/>
    <w:rsid w:val="5B313D01"/>
    <w:rsid w:val="5B451926"/>
    <w:rsid w:val="5B613975"/>
    <w:rsid w:val="5B910342"/>
    <w:rsid w:val="5BB87011"/>
    <w:rsid w:val="5BCB359E"/>
    <w:rsid w:val="5BD5298B"/>
    <w:rsid w:val="5BE67EF0"/>
    <w:rsid w:val="5BF30B72"/>
    <w:rsid w:val="5BFD07D9"/>
    <w:rsid w:val="5BFE54F5"/>
    <w:rsid w:val="5C1B408D"/>
    <w:rsid w:val="5C355B83"/>
    <w:rsid w:val="5C3C0DCF"/>
    <w:rsid w:val="5C73528C"/>
    <w:rsid w:val="5CAB06C4"/>
    <w:rsid w:val="5CB35126"/>
    <w:rsid w:val="5CCD18DB"/>
    <w:rsid w:val="5CDE1F07"/>
    <w:rsid w:val="5CE55635"/>
    <w:rsid w:val="5CF8413C"/>
    <w:rsid w:val="5CFC5F1D"/>
    <w:rsid w:val="5D0F5D23"/>
    <w:rsid w:val="5D1B08CB"/>
    <w:rsid w:val="5D322E5F"/>
    <w:rsid w:val="5D702C25"/>
    <w:rsid w:val="5D82689A"/>
    <w:rsid w:val="5D914130"/>
    <w:rsid w:val="5D964741"/>
    <w:rsid w:val="5D99172C"/>
    <w:rsid w:val="5DA325FD"/>
    <w:rsid w:val="5E001DDF"/>
    <w:rsid w:val="5E064486"/>
    <w:rsid w:val="5E0E63FB"/>
    <w:rsid w:val="5E1612F0"/>
    <w:rsid w:val="5E216E7D"/>
    <w:rsid w:val="5E303B2B"/>
    <w:rsid w:val="5E385853"/>
    <w:rsid w:val="5E440F7F"/>
    <w:rsid w:val="5E813620"/>
    <w:rsid w:val="5EA66C24"/>
    <w:rsid w:val="5EBD08BB"/>
    <w:rsid w:val="5EBD3D5F"/>
    <w:rsid w:val="5EF642D2"/>
    <w:rsid w:val="5F1374D9"/>
    <w:rsid w:val="5F182A7C"/>
    <w:rsid w:val="5F511076"/>
    <w:rsid w:val="5F676BC7"/>
    <w:rsid w:val="5FAB5702"/>
    <w:rsid w:val="5FB16675"/>
    <w:rsid w:val="5FB75393"/>
    <w:rsid w:val="5FC039A2"/>
    <w:rsid w:val="5FDF2E21"/>
    <w:rsid w:val="5FF73F90"/>
    <w:rsid w:val="5FF91A5A"/>
    <w:rsid w:val="601A5E05"/>
    <w:rsid w:val="602E5DFE"/>
    <w:rsid w:val="60303E49"/>
    <w:rsid w:val="60356B4F"/>
    <w:rsid w:val="60396FE2"/>
    <w:rsid w:val="603B5B83"/>
    <w:rsid w:val="60643700"/>
    <w:rsid w:val="60691639"/>
    <w:rsid w:val="60724438"/>
    <w:rsid w:val="607F4DDC"/>
    <w:rsid w:val="60A84F86"/>
    <w:rsid w:val="60AD5CAC"/>
    <w:rsid w:val="60C6661C"/>
    <w:rsid w:val="61AD749A"/>
    <w:rsid w:val="61CA329D"/>
    <w:rsid w:val="62611B22"/>
    <w:rsid w:val="626215E2"/>
    <w:rsid w:val="62700A43"/>
    <w:rsid w:val="6282442D"/>
    <w:rsid w:val="62826B2B"/>
    <w:rsid w:val="628A17AF"/>
    <w:rsid w:val="629657CC"/>
    <w:rsid w:val="62F81605"/>
    <w:rsid w:val="633434B4"/>
    <w:rsid w:val="63422348"/>
    <w:rsid w:val="63633FCF"/>
    <w:rsid w:val="637F5749"/>
    <w:rsid w:val="63846E42"/>
    <w:rsid w:val="63857BDB"/>
    <w:rsid w:val="638A5975"/>
    <w:rsid w:val="63906F64"/>
    <w:rsid w:val="63B35D05"/>
    <w:rsid w:val="63B862C9"/>
    <w:rsid w:val="63CB7DC7"/>
    <w:rsid w:val="63E22AC6"/>
    <w:rsid w:val="63F54507"/>
    <w:rsid w:val="63FF5C45"/>
    <w:rsid w:val="64112B43"/>
    <w:rsid w:val="642166ED"/>
    <w:rsid w:val="648C6E59"/>
    <w:rsid w:val="648D5D33"/>
    <w:rsid w:val="64B02A9E"/>
    <w:rsid w:val="64B71ABC"/>
    <w:rsid w:val="64DD28A0"/>
    <w:rsid w:val="64EF3FFE"/>
    <w:rsid w:val="651459FC"/>
    <w:rsid w:val="651869DC"/>
    <w:rsid w:val="65796C7A"/>
    <w:rsid w:val="659002E9"/>
    <w:rsid w:val="65D077FC"/>
    <w:rsid w:val="65F4243C"/>
    <w:rsid w:val="65FF4D0C"/>
    <w:rsid w:val="665C76CD"/>
    <w:rsid w:val="66A64EFF"/>
    <w:rsid w:val="66DC4792"/>
    <w:rsid w:val="66F134E7"/>
    <w:rsid w:val="66F74FF3"/>
    <w:rsid w:val="67045BD2"/>
    <w:rsid w:val="67931E93"/>
    <w:rsid w:val="6799405B"/>
    <w:rsid w:val="679F338E"/>
    <w:rsid w:val="67CB3B5A"/>
    <w:rsid w:val="67FD306E"/>
    <w:rsid w:val="6820500A"/>
    <w:rsid w:val="682F1BF4"/>
    <w:rsid w:val="6839022E"/>
    <w:rsid w:val="686E511F"/>
    <w:rsid w:val="68761995"/>
    <w:rsid w:val="68D569DE"/>
    <w:rsid w:val="690E7CED"/>
    <w:rsid w:val="69177E3B"/>
    <w:rsid w:val="69315FFB"/>
    <w:rsid w:val="693D719B"/>
    <w:rsid w:val="69411DB6"/>
    <w:rsid w:val="69665362"/>
    <w:rsid w:val="697F7F7E"/>
    <w:rsid w:val="69824BF9"/>
    <w:rsid w:val="69905D52"/>
    <w:rsid w:val="69AC2CDC"/>
    <w:rsid w:val="69D6457F"/>
    <w:rsid w:val="69F023F1"/>
    <w:rsid w:val="6A293A57"/>
    <w:rsid w:val="6A304636"/>
    <w:rsid w:val="6A4C08B4"/>
    <w:rsid w:val="6A620DAA"/>
    <w:rsid w:val="6A6C49FA"/>
    <w:rsid w:val="6A6E6C25"/>
    <w:rsid w:val="6A7369AA"/>
    <w:rsid w:val="6A8D50CE"/>
    <w:rsid w:val="6A965132"/>
    <w:rsid w:val="6AA920D8"/>
    <w:rsid w:val="6AB14BFD"/>
    <w:rsid w:val="6AD34932"/>
    <w:rsid w:val="6AE2007B"/>
    <w:rsid w:val="6AE22867"/>
    <w:rsid w:val="6B222435"/>
    <w:rsid w:val="6B862FF9"/>
    <w:rsid w:val="6BA56C24"/>
    <w:rsid w:val="6BB52D67"/>
    <w:rsid w:val="6BC938F8"/>
    <w:rsid w:val="6BD0203E"/>
    <w:rsid w:val="6BDF59F2"/>
    <w:rsid w:val="6C0D7044"/>
    <w:rsid w:val="6C356411"/>
    <w:rsid w:val="6C4D1E16"/>
    <w:rsid w:val="6C4F6842"/>
    <w:rsid w:val="6C504BFD"/>
    <w:rsid w:val="6C532A48"/>
    <w:rsid w:val="6C614A89"/>
    <w:rsid w:val="6C6434AB"/>
    <w:rsid w:val="6C7551E3"/>
    <w:rsid w:val="6C8F7B46"/>
    <w:rsid w:val="6CDD5810"/>
    <w:rsid w:val="6D9A75FB"/>
    <w:rsid w:val="6DA049DF"/>
    <w:rsid w:val="6DCC524A"/>
    <w:rsid w:val="6DDB271D"/>
    <w:rsid w:val="6E0C69AE"/>
    <w:rsid w:val="6E320422"/>
    <w:rsid w:val="6E3E2E29"/>
    <w:rsid w:val="6E7B63D2"/>
    <w:rsid w:val="6EAA18CE"/>
    <w:rsid w:val="6ECB4321"/>
    <w:rsid w:val="6ECF10BB"/>
    <w:rsid w:val="6F855148"/>
    <w:rsid w:val="6F8E5D6B"/>
    <w:rsid w:val="6F90302E"/>
    <w:rsid w:val="6F9332A5"/>
    <w:rsid w:val="6F962FBC"/>
    <w:rsid w:val="6FF536E8"/>
    <w:rsid w:val="701474EB"/>
    <w:rsid w:val="705453CD"/>
    <w:rsid w:val="70706D42"/>
    <w:rsid w:val="70F52FEB"/>
    <w:rsid w:val="71007D30"/>
    <w:rsid w:val="712F4803"/>
    <w:rsid w:val="71362013"/>
    <w:rsid w:val="714F5500"/>
    <w:rsid w:val="71954A73"/>
    <w:rsid w:val="71C85AC3"/>
    <w:rsid w:val="722E3549"/>
    <w:rsid w:val="72411499"/>
    <w:rsid w:val="72483ECD"/>
    <w:rsid w:val="7275752E"/>
    <w:rsid w:val="72A421D0"/>
    <w:rsid w:val="72B41D14"/>
    <w:rsid w:val="72B92643"/>
    <w:rsid w:val="72BD6CE5"/>
    <w:rsid w:val="72E60F49"/>
    <w:rsid w:val="7358093A"/>
    <w:rsid w:val="735B7AF4"/>
    <w:rsid w:val="7361266C"/>
    <w:rsid w:val="736237DA"/>
    <w:rsid w:val="73705C63"/>
    <w:rsid w:val="737E53FF"/>
    <w:rsid w:val="738072F7"/>
    <w:rsid w:val="73C31213"/>
    <w:rsid w:val="73C86730"/>
    <w:rsid w:val="73CA707F"/>
    <w:rsid w:val="73D658ED"/>
    <w:rsid w:val="73DF7FAA"/>
    <w:rsid w:val="73F40DB4"/>
    <w:rsid w:val="741422C7"/>
    <w:rsid w:val="74341604"/>
    <w:rsid w:val="746F3DD4"/>
    <w:rsid w:val="748B387B"/>
    <w:rsid w:val="74C738B4"/>
    <w:rsid w:val="74DF0DB0"/>
    <w:rsid w:val="750B4447"/>
    <w:rsid w:val="75655151"/>
    <w:rsid w:val="75D048B5"/>
    <w:rsid w:val="75DF1F4C"/>
    <w:rsid w:val="764B251F"/>
    <w:rsid w:val="764B78C7"/>
    <w:rsid w:val="764F31B5"/>
    <w:rsid w:val="767D5CCA"/>
    <w:rsid w:val="76BE2A26"/>
    <w:rsid w:val="76EE2BC9"/>
    <w:rsid w:val="76F1566C"/>
    <w:rsid w:val="76FC4628"/>
    <w:rsid w:val="77150B2F"/>
    <w:rsid w:val="772078D2"/>
    <w:rsid w:val="77211489"/>
    <w:rsid w:val="775B5405"/>
    <w:rsid w:val="778622A7"/>
    <w:rsid w:val="77A94AFF"/>
    <w:rsid w:val="77B727AC"/>
    <w:rsid w:val="77FC6FA6"/>
    <w:rsid w:val="78102F7D"/>
    <w:rsid w:val="78255C9C"/>
    <w:rsid w:val="782F502B"/>
    <w:rsid w:val="787605DD"/>
    <w:rsid w:val="789D1A6F"/>
    <w:rsid w:val="78A437B7"/>
    <w:rsid w:val="78B61F2A"/>
    <w:rsid w:val="78EF111A"/>
    <w:rsid w:val="7912287D"/>
    <w:rsid w:val="791334B2"/>
    <w:rsid w:val="79244D3D"/>
    <w:rsid w:val="79617E2C"/>
    <w:rsid w:val="79BB59C4"/>
    <w:rsid w:val="79EF3463"/>
    <w:rsid w:val="79FB20A7"/>
    <w:rsid w:val="7A1C0E84"/>
    <w:rsid w:val="7A1F051F"/>
    <w:rsid w:val="7A625EB6"/>
    <w:rsid w:val="7A9746C7"/>
    <w:rsid w:val="7AB05292"/>
    <w:rsid w:val="7AC1749D"/>
    <w:rsid w:val="7AE44BBB"/>
    <w:rsid w:val="7AE971C9"/>
    <w:rsid w:val="7B4B5EB5"/>
    <w:rsid w:val="7B502BFF"/>
    <w:rsid w:val="7BCA13DB"/>
    <w:rsid w:val="7BE560E9"/>
    <w:rsid w:val="7BFE1795"/>
    <w:rsid w:val="7C1944B0"/>
    <w:rsid w:val="7C43714C"/>
    <w:rsid w:val="7CB97521"/>
    <w:rsid w:val="7CE80812"/>
    <w:rsid w:val="7D0E6E2E"/>
    <w:rsid w:val="7D2A2168"/>
    <w:rsid w:val="7D5B5B62"/>
    <w:rsid w:val="7D6A1B38"/>
    <w:rsid w:val="7D9756E9"/>
    <w:rsid w:val="7DA81DB5"/>
    <w:rsid w:val="7DC709B1"/>
    <w:rsid w:val="7DDC5AE4"/>
    <w:rsid w:val="7E06690A"/>
    <w:rsid w:val="7E1C3849"/>
    <w:rsid w:val="7E303466"/>
    <w:rsid w:val="7E49351E"/>
    <w:rsid w:val="7E741206"/>
    <w:rsid w:val="7E7F45BC"/>
    <w:rsid w:val="7E930C9C"/>
    <w:rsid w:val="7EB2143B"/>
    <w:rsid w:val="7EB47A3F"/>
    <w:rsid w:val="7ECA4F8D"/>
    <w:rsid w:val="7EE73102"/>
    <w:rsid w:val="7F043070"/>
    <w:rsid w:val="7F1C66B3"/>
    <w:rsid w:val="7F9676DE"/>
    <w:rsid w:val="7FAB579B"/>
    <w:rsid w:val="7FAF0A04"/>
    <w:rsid w:val="7FB97FDF"/>
    <w:rsid w:val="7FD00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qFormat/>
    <w:uiPriority w:val="9"/>
    <w:pPr>
      <w:keepNext w:val="0"/>
      <w:keepLines w:val="0"/>
      <w:numPr>
        <w:ilvl w:val="0"/>
        <w:numId w:val="1"/>
      </w:numPr>
      <w:spacing w:before="340" w:after="330"/>
      <w:ind w:left="431" w:hanging="431"/>
      <w:jc w:val="center"/>
      <w:outlineLvl w:val="0"/>
    </w:pPr>
    <w:rPr>
      <w:rFonts w:ascii="Times New Roman" w:hAnsi="Times New Roman" w:eastAsia="宋体"/>
      <w:b/>
      <w:bCs/>
      <w:kern w:val="44"/>
      <w:sz w:val="30"/>
      <w:szCs w:val="44"/>
    </w:rPr>
  </w:style>
  <w:style w:type="paragraph" w:styleId="3">
    <w:name w:val="heading 2"/>
    <w:basedOn w:val="1"/>
    <w:next w:val="1"/>
    <w:link w:val="36"/>
    <w:unhideWhenUsed/>
    <w:qFormat/>
    <w:uiPriority w:val="9"/>
    <w:pPr>
      <w:keepNext w:val="0"/>
      <w:keepLines w:val="0"/>
      <w:numPr>
        <w:ilvl w:val="1"/>
        <w:numId w:val="1"/>
      </w:numPr>
      <w:spacing w:before="260" w:after="260"/>
      <w:ind w:left="573" w:hanging="573"/>
      <w:jc w:val="center"/>
      <w:outlineLvl w:val="1"/>
    </w:pPr>
    <w:rPr>
      <w:rFonts w:ascii="Times New Roman" w:hAnsi="Times New Roman" w:eastAsiaTheme="majorEastAsia" w:cstheme="majorBidi"/>
      <w:b/>
      <w:bCs/>
      <w:sz w:val="28"/>
      <w:szCs w:val="32"/>
    </w:rPr>
  </w:style>
  <w:style w:type="paragraph" w:styleId="4">
    <w:name w:val="heading 3"/>
    <w:basedOn w:val="1"/>
    <w:next w:val="1"/>
    <w:link w:val="52"/>
    <w:unhideWhenUsed/>
    <w:qFormat/>
    <w:uiPriority w:val="9"/>
    <w:pPr>
      <w:keepNext/>
      <w:keepLines/>
      <w:numPr>
        <w:ilvl w:val="2"/>
        <w:numId w:val="1"/>
      </w:numPr>
      <w:spacing w:before="260" w:after="260" w:line="416" w:lineRule="auto"/>
      <w:ind w:left="720" w:hanging="720"/>
      <w:outlineLvl w:val="2"/>
    </w:pPr>
    <w:rPr>
      <w:b/>
      <w:bCs/>
      <w:sz w:val="32"/>
      <w:szCs w:val="32"/>
    </w:rPr>
  </w:style>
  <w:style w:type="paragraph" w:styleId="5">
    <w:name w:val="heading 4"/>
    <w:basedOn w:val="1"/>
    <w:next w:val="1"/>
    <w:link w:val="53"/>
    <w:unhideWhenUsed/>
    <w:qFormat/>
    <w:uiPriority w:val="9"/>
    <w:pPr>
      <w:keepNext/>
      <w:keepLines/>
      <w:numPr>
        <w:ilvl w:val="3"/>
        <w:numId w:val="1"/>
      </w:numPr>
      <w:spacing w:before="280" w:after="290" w:line="376" w:lineRule="auto"/>
      <w:ind w:left="864" w:hanging="864"/>
      <w:outlineLvl w:val="3"/>
    </w:pPr>
    <w:rPr>
      <w:rFonts w:asciiTheme="majorHAnsi" w:hAnsiTheme="majorHAnsi" w:eastAsiaTheme="majorEastAsia" w:cstheme="majorBidi"/>
      <w:b/>
      <w:bCs/>
      <w:sz w:val="28"/>
      <w:szCs w:val="28"/>
    </w:rPr>
  </w:style>
  <w:style w:type="paragraph" w:styleId="6">
    <w:name w:val="heading 5"/>
    <w:basedOn w:val="1"/>
    <w:next w:val="1"/>
    <w:semiHidden/>
    <w:unhideWhenUsed/>
    <w:qFormat/>
    <w:uiPriority w:val="9"/>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9"/>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9"/>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style>
  <w:style w:type="paragraph" w:styleId="12">
    <w:name w:val="annotation text"/>
    <w:basedOn w:val="1"/>
    <w:link w:val="61"/>
    <w:semiHidden/>
    <w:unhideWhenUsed/>
    <w:qFormat/>
    <w:uiPriority w:val="99"/>
    <w:pPr>
      <w:jc w:val="left"/>
    </w:pPr>
  </w:style>
  <w:style w:type="paragraph" w:styleId="13">
    <w:name w:val="toc 5"/>
    <w:basedOn w:val="1"/>
    <w:next w:val="1"/>
    <w:unhideWhenUsed/>
    <w:qFormat/>
    <w:uiPriority w:val="39"/>
    <w:pPr>
      <w:ind w:left="1680" w:leftChars="800"/>
    </w:pPr>
  </w:style>
  <w:style w:type="paragraph" w:styleId="14">
    <w:name w:val="toc 3"/>
    <w:basedOn w:val="1"/>
    <w:next w:val="1"/>
    <w:unhideWhenUsed/>
    <w:qFormat/>
    <w:uiPriority w:val="39"/>
    <w:pPr>
      <w:ind w:left="840" w:leftChars="400"/>
    </w:pPr>
  </w:style>
  <w:style w:type="paragraph" w:styleId="15">
    <w:name w:val="toc 8"/>
    <w:basedOn w:val="1"/>
    <w:next w:val="1"/>
    <w:unhideWhenUsed/>
    <w:qFormat/>
    <w:uiPriority w:val="39"/>
    <w:pPr>
      <w:ind w:left="2940" w:leftChars="1400"/>
    </w:pPr>
  </w:style>
  <w:style w:type="paragraph" w:styleId="16">
    <w:name w:val="Date"/>
    <w:basedOn w:val="1"/>
    <w:next w:val="1"/>
    <w:link w:val="64"/>
    <w:semiHidden/>
    <w:unhideWhenUsed/>
    <w:qFormat/>
    <w:uiPriority w:val="99"/>
    <w:pPr>
      <w:ind w:left="100" w:leftChars="2500"/>
    </w:pPr>
  </w:style>
  <w:style w:type="paragraph" w:styleId="17">
    <w:name w:val="Balloon Text"/>
    <w:basedOn w:val="1"/>
    <w:link w:val="58"/>
    <w:semiHidden/>
    <w:unhideWhenUsed/>
    <w:qFormat/>
    <w:uiPriority w:val="99"/>
    <w:rPr>
      <w:sz w:val="18"/>
      <w:szCs w:val="18"/>
    </w:rPr>
  </w:style>
  <w:style w:type="paragraph" w:styleId="18">
    <w:name w:val="footer"/>
    <w:basedOn w:val="1"/>
    <w:link w:val="56"/>
    <w:unhideWhenUsed/>
    <w:qFormat/>
    <w:uiPriority w:val="99"/>
    <w:pPr>
      <w:tabs>
        <w:tab w:val="center" w:pos="4153"/>
        <w:tab w:val="right" w:pos="8306"/>
      </w:tabs>
      <w:snapToGrid w:val="0"/>
      <w:jc w:val="left"/>
    </w:pPr>
    <w:rPr>
      <w:rFonts w:ascii="宋体" w:hAnsi="宋体" w:eastAsia="宋体"/>
      <w:sz w:val="21"/>
      <w:szCs w:val="18"/>
    </w:rPr>
  </w:style>
  <w:style w:type="paragraph" w:styleId="19">
    <w:name w:val="header"/>
    <w:basedOn w:val="1"/>
    <w:link w:val="5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tabs>
        <w:tab w:val="right" w:leader="dot" w:pos="8296"/>
      </w:tabs>
      <w:spacing w:line="360" w:lineRule="auto"/>
      <w:jc w:val="center"/>
    </w:pPr>
    <w:rPr>
      <w:rFonts w:ascii="Times New Roman" w:hAnsi="Times New Roman" w:eastAsia="宋体" w:cs="Times New Roman"/>
      <w:sz w:val="24"/>
      <w:szCs w:val="24"/>
    </w:rPr>
  </w:style>
  <w:style w:type="paragraph" w:styleId="21">
    <w:name w:val="toc 4"/>
    <w:basedOn w:val="1"/>
    <w:next w:val="1"/>
    <w:unhideWhenUsed/>
    <w:qFormat/>
    <w:uiPriority w:val="39"/>
    <w:pPr>
      <w:ind w:left="1260" w:leftChars="600"/>
    </w:pPr>
  </w:style>
  <w:style w:type="paragraph" w:styleId="22">
    <w:name w:val="toc 6"/>
    <w:basedOn w:val="1"/>
    <w:next w:val="1"/>
    <w:unhideWhenUsed/>
    <w:qFormat/>
    <w:uiPriority w:val="39"/>
    <w:pPr>
      <w:ind w:left="2100" w:leftChars="1000"/>
    </w:pPr>
  </w:style>
  <w:style w:type="paragraph" w:styleId="23">
    <w:name w:val="toc 2"/>
    <w:basedOn w:val="1"/>
    <w:next w:val="1"/>
    <w:unhideWhenUsed/>
    <w:qFormat/>
    <w:uiPriority w:val="39"/>
    <w:pPr>
      <w:spacing w:line="360" w:lineRule="auto"/>
      <w:ind w:left="420" w:leftChars="200"/>
    </w:pPr>
    <w:rPr>
      <w:rFonts w:ascii="Times New Roman" w:hAnsi="Times New Roman" w:eastAsia="宋体"/>
      <w:sz w:val="24"/>
    </w:rPr>
  </w:style>
  <w:style w:type="paragraph" w:styleId="24">
    <w:name w:val="toc 9"/>
    <w:basedOn w:val="1"/>
    <w:next w:val="1"/>
    <w:unhideWhenUsed/>
    <w:qFormat/>
    <w:uiPriority w:val="39"/>
    <w:pPr>
      <w:ind w:left="3360" w:leftChars="1600"/>
    </w:pPr>
  </w:style>
  <w:style w:type="paragraph" w:styleId="25">
    <w:name w:val="HTML Preformatted"/>
    <w:basedOn w:val="1"/>
    <w:link w:val="54"/>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6">
    <w:name w:val="Title"/>
    <w:basedOn w:val="1"/>
    <w:next w:val="1"/>
    <w:link w:val="33"/>
    <w:qFormat/>
    <w:uiPriority w:val="10"/>
    <w:pPr>
      <w:spacing w:line="360" w:lineRule="auto"/>
      <w:jc w:val="left"/>
      <w:outlineLvl w:val="0"/>
    </w:pPr>
    <w:rPr>
      <w:rFonts w:ascii="Times New Roman" w:hAnsi="Times New Roman" w:eastAsia="宋体" w:cstheme="majorBidi"/>
      <w:b/>
      <w:bCs/>
      <w:sz w:val="24"/>
      <w:szCs w:val="32"/>
    </w:rPr>
  </w:style>
  <w:style w:type="paragraph" w:styleId="27">
    <w:name w:val="annotation subject"/>
    <w:basedOn w:val="12"/>
    <w:next w:val="12"/>
    <w:link w:val="62"/>
    <w:semiHidden/>
    <w:unhideWhenUsed/>
    <w:qFormat/>
    <w:uiPriority w:val="99"/>
    <w:rPr>
      <w:b/>
      <w:bCs/>
    </w:rPr>
  </w:style>
  <w:style w:type="table" w:styleId="29">
    <w:name w:val="Table Grid"/>
    <w:basedOn w:val="2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Hyperlink"/>
    <w:basedOn w:val="30"/>
    <w:unhideWhenUsed/>
    <w:qFormat/>
    <w:uiPriority w:val="99"/>
    <w:rPr>
      <w:color w:val="0000FF" w:themeColor="hyperlink"/>
      <w:u w:val="single"/>
      <w14:textFill>
        <w14:solidFill>
          <w14:schemeClr w14:val="hlink"/>
        </w14:solidFill>
      </w14:textFill>
    </w:rPr>
  </w:style>
  <w:style w:type="character" w:styleId="32">
    <w:name w:val="annotation reference"/>
    <w:basedOn w:val="30"/>
    <w:semiHidden/>
    <w:unhideWhenUsed/>
    <w:qFormat/>
    <w:uiPriority w:val="99"/>
    <w:rPr>
      <w:sz w:val="21"/>
      <w:szCs w:val="21"/>
    </w:rPr>
  </w:style>
  <w:style w:type="character" w:customStyle="1" w:styleId="33">
    <w:name w:val="标题 Char"/>
    <w:basedOn w:val="30"/>
    <w:link w:val="26"/>
    <w:qFormat/>
    <w:uiPriority w:val="10"/>
    <w:rPr>
      <w:rFonts w:ascii="Times New Roman" w:hAnsi="Times New Roman" w:eastAsia="宋体" w:cstheme="majorBidi"/>
      <w:b/>
      <w:bCs/>
      <w:sz w:val="24"/>
      <w:szCs w:val="32"/>
    </w:rPr>
  </w:style>
  <w:style w:type="paragraph" w:styleId="34">
    <w:name w:val="List Paragraph"/>
    <w:basedOn w:val="1"/>
    <w:qFormat/>
    <w:uiPriority w:val="34"/>
    <w:pPr>
      <w:ind w:firstLine="420" w:firstLineChars="200"/>
    </w:pPr>
  </w:style>
  <w:style w:type="character" w:customStyle="1" w:styleId="35">
    <w:name w:val="标题 1 Char"/>
    <w:basedOn w:val="30"/>
    <w:link w:val="2"/>
    <w:qFormat/>
    <w:uiPriority w:val="9"/>
    <w:rPr>
      <w:rFonts w:ascii="Times New Roman" w:hAnsi="Times New Roman" w:eastAsia="宋体"/>
      <w:b/>
      <w:bCs/>
      <w:kern w:val="44"/>
      <w:sz w:val="30"/>
      <w:szCs w:val="44"/>
    </w:rPr>
  </w:style>
  <w:style w:type="character" w:customStyle="1" w:styleId="36">
    <w:name w:val="标题 2 Char"/>
    <w:basedOn w:val="30"/>
    <w:link w:val="3"/>
    <w:qFormat/>
    <w:uiPriority w:val="9"/>
    <w:rPr>
      <w:rFonts w:ascii="Times New Roman" w:hAnsi="Times New Roman" w:eastAsiaTheme="majorEastAsia" w:cstheme="majorBidi"/>
      <w:b/>
      <w:bCs/>
      <w:sz w:val="28"/>
      <w:szCs w:val="32"/>
    </w:rPr>
  </w:style>
  <w:style w:type="paragraph" w:customStyle="1" w:styleId="37">
    <w:name w:val="Default"/>
    <w:qFormat/>
    <w:uiPriority w:val="0"/>
    <w:pPr>
      <w:widowControl w:val="0"/>
      <w:autoSpaceDE w:val="0"/>
      <w:autoSpaceDN w:val="0"/>
      <w:adjustRightInd w:val="0"/>
    </w:pPr>
    <w:rPr>
      <w:rFonts w:ascii="Calibri" w:hAnsi="Calibri" w:cs="Calibri" w:eastAsiaTheme="minorEastAsia"/>
      <w:color w:val="000000"/>
      <w:kern w:val="0"/>
      <w:sz w:val="24"/>
      <w:szCs w:val="24"/>
      <w:lang w:val="en-US" w:eastAsia="zh-CN" w:bidi="ar-SA"/>
    </w:rPr>
  </w:style>
  <w:style w:type="paragraph" w:customStyle="1" w:styleId="38">
    <w:name w:val="正文1"/>
    <w:basedOn w:val="1"/>
    <w:link w:val="39"/>
    <w:qFormat/>
    <w:uiPriority w:val="0"/>
    <w:pPr>
      <w:spacing w:line="360" w:lineRule="auto"/>
      <w:ind w:left="0" w:leftChars="0" w:firstLine="0" w:firstLineChars="0"/>
    </w:pPr>
    <w:rPr>
      <w:rFonts w:ascii="Times New Roman" w:hAnsi="Times New Roman" w:eastAsia="宋体"/>
      <w:sz w:val="24"/>
      <w:szCs w:val="24"/>
    </w:rPr>
  </w:style>
  <w:style w:type="character" w:customStyle="1" w:styleId="39">
    <w:name w:val="正文1 Char"/>
    <w:basedOn w:val="30"/>
    <w:link w:val="38"/>
    <w:qFormat/>
    <w:uiPriority w:val="0"/>
    <w:rPr>
      <w:rFonts w:ascii="Times New Roman" w:hAnsi="Times New Roman" w:eastAsia="宋体"/>
      <w:sz w:val="24"/>
      <w:szCs w:val="24"/>
    </w:rPr>
  </w:style>
  <w:style w:type="paragraph" w:customStyle="1" w:styleId="40">
    <w:name w:val="正文表标题"/>
    <w:next w:val="1"/>
    <w:qFormat/>
    <w:uiPriority w:val="0"/>
    <w:pPr>
      <w:spacing w:before="156" w:beforeLines="50" w:after="156" w:afterLines="50"/>
      <w:jc w:val="center"/>
    </w:pPr>
    <w:rPr>
      <w:rFonts w:ascii="黑体" w:hAnsi="Times New Roman" w:eastAsia="黑体" w:cs="Times New Roman"/>
      <w:kern w:val="0"/>
      <w:sz w:val="21"/>
      <w:szCs w:val="20"/>
      <w:lang w:val="en-US" w:eastAsia="zh-CN" w:bidi="ar-SA"/>
    </w:rPr>
  </w:style>
  <w:style w:type="paragraph" w:customStyle="1" w:styleId="41">
    <w:name w:val="一级条标题"/>
    <w:next w:val="1"/>
    <w:qFormat/>
    <w:uiPriority w:val="0"/>
    <w:pPr>
      <w:numPr>
        <w:ilvl w:val="1"/>
        <w:numId w:val="2"/>
      </w:numPr>
      <w:spacing w:before="156" w:beforeLines="50" w:after="156" w:afterLines="50"/>
      <w:outlineLvl w:val="2"/>
    </w:pPr>
    <w:rPr>
      <w:rFonts w:ascii="黑体" w:hAnsi="Times New Roman" w:eastAsia="黑体" w:cs="Times New Roman"/>
      <w:kern w:val="0"/>
      <w:sz w:val="21"/>
      <w:szCs w:val="21"/>
      <w:lang w:val="en-US" w:eastAsia="zh-CN" w:bidi="ar-SA"/>
    </w:rPr>
  </w:style>
  <w:style w:type="paragraph" w:customStyle="1" w:styleId="42">
    <w:name w:val="章标题"/>
    <w:next w:val="1"/>
    <w:qFormat/>
    <w:uiPriority w:val="0"/>
    <w:pPr>
      <w:numPr>
        <w:ilvl w:val="0"/>
        <w:numId w:val="2"/>
      </w:numPr>
      <w:spacing w:before="312" w:beforeLines="100" w:after="312" w:afterLines="100"/>
      <w:jc w:val="both"/>
      <w:outlineLvl w:val="1"/>
    </w:pPr>
    <w:rPr>
      <w:rFonts w:ascii="黑体" w:hAnsi="Times New Roman" w:eastAsia="黑体" w:cs="Times New Roman"/>
      <w:kern w:val="0"/>
      <w:sz w:val="21"/>
      <w:szCs w:val="20"/>
      <w:lang w:val="en-US" w:eastAsia="zh-CN" w:bidi="ar-SA"/>
    </w:rPr>
  </w:style>
  <w:style w:type="paragraph" w:customStyle="1" w:styleId="43">
    <w:name w:val="二级条标题"/>
    <w:basedOn w:val="41"/>
    <w:next w:val="1"/>
    <w:qFormat/>
    <w:uiPriority w:val="0"/>
    <w:pPr>
      <w:numPr>
        <w:ilvl w:val="2"/>
      </w:numPr>
      <w:spacing w:before="50" w:after="50"/>
      <w:outlineLvl w:val="3"/>
    </w:pPr>
  </w:style>
  <w:style w:type="paragraph" w:customStyle="1" w:styleId="44">
    <w:name w:val="三级条标题"/>
    <w:basedOn w:val="43"/>
    <w:next w:val="1"/>
    <w:qFormat/>
    <w:uiPriority w:val="0"/>
    <w:pPr>
      <w:numPr>
        <w:ilvl w:val="3"/>
      </w:numPr>
      <w:ind w:left="105"/>
    </w:pPr>
  </w:style>
  <w:style w:type="paragraph" w:customStyle="1" w:styleId="45">
    <w:name w:val="数字编号列项（二级）"/>
    <w:qFormat/>
    <w:uiPriority w:val="0"/>
    <w:pPr>
      <w:numPr>
        <w:ilvl w:val="1"/>
        <w:numId w:val="3"/>
      </w:numPr>
      <w:jc w:val="both"/>
    </w:pPr>
    <w:rPr>
      <w:rFonts w:ascii="宋体" w:hAnsi="Times New Roman" w:eastAsia="宋体" w:cs="Times New Roman"/>
      <w:kern w:val="0"/>
      <w:sz w:val="21"/>
      <w:szCs w:val="20"/>
      <w:lang w:val="en-US" w:eastAsia="zh-CN" w:bidi="ar-SA"/>
    </w:rPr>
  </w:style>
  <w:style w:type="paragraph" w:customStyle="1" w:styleId="46">
    <w:name w:val="四级条标题"/>
    <w:basedOn w:val="44"/>
    <w:next w:val="1"/>
    <w:qFormat/>
    <w:uiPriority w:val="0"/>
    <w:pPr>
      <w:numPr>
        <w:ilvl w:val="5"/>
      </w:numPr>
      <w:outlineLvl w:val="5"/>
    </w:pPr>
  </w:style>
  <w:style w:type="paragraph" w:customStyle="1" w:styleId="47">
    <w:name w:val="字母编号列项（一级）"/>
    <w:qFormat/>
    <w:uiPriority w:val="0"/>
    <w:pPr>
      <w:numPr>
        <w:ilvl w:val="0"/>
        <w:numId w:val="3"/>
      </w:numPr>
      <w:jc w:val="both"/>
    </w:pPr>
    <w:rPr>
      <w:rFonts w:ascii="宋体" w:hAnsi="Times New Roman" w:eastAsia="宋体" w:cs="Times New Roman"/>
      <w:kern w:val="0"/>
      <w:sz w:val="21"/>
      <w:szCs w:val="20"/>
      <w:lang w:val="en-US" w:eastAsia="zh-CN" w:bidi="ar-SA"/>
    </w:rPr>
  </w:style>
  <w:style w:type="paragraph" w:customStyle="1" w:styleId="48">
    <w:name w:val="编号列项（三级）"/>
    <w:qFormat/>
    <w:uiPriority w:val="0"/>
    <w:pPr>
      <w:numPr>
        <w:ilvl w:val="2"/>
        <w:numId w:val="3"/>
      </w:numPr>
    </w:pPr>
    <w:rPr>
      <w:rFonts w:ascii="宋体" w:hAnsi="Times New Roman" w:eastAsia="宋体" w:cs="Times New Roman"/>
      <w:kern w:val="0"/>
      <w:sz w:val="21"/>
      <w:szCs w:val="20"/>
      <w:lang w:val="en-US" w:eastAsia="zh-CN" w:bidi="ar-SA"/>
    </w:rPr>
  </w:style>
  <w:style w:type="paragraph" w:customStyle="1" w:styleId="49">
    <w:name w:val="二级无"/>
    <w:basedOn w:val="43"/>
    <w:qFormat/>
    <w:uiPriority w:val="0"/>
  </w:style>
  <w:style w:type="character" w:customStyle="1" w:styleId="50">
    <w:name w:val="表格正文 Char"/>
    <w:basedOn w:val="30"/>
    <w:link w:val="51"/>
    <w:qFormat/>
    <w:locked/>
    <w:uiPriority w:val="0"/>
    <w:rPr>
      <w:rFonts w:ascii="Calibri" w:hAnsi="Calibri" w:eastAsia="宋体" w:cs="Times New Roman"/>
      <w:kern w:val="0"/>
    </w:rPr>
  </w:style>
  <w:style w:type="paragraph" w:customStyle="1" w:styleId="51">
    <w:name w:val="表格正文"/>
    <w:basedOn w:val="1"/>
    <w:link w:val="50"/>
    <w:qFormat/>
    <w:uiPriority w:val="0"/>
    <w:pPr>
      <w:autoSpaceDE w:val="0"/>
      <w:autoSpaceDN w:val="0"/>
      <w:adjustRightInd w:val="0"/>
      <w:spacing w:line="360" w:lineRule="exact"/>
      <w:jc w:val="center"/>
    </w:pPr>
    <w:rPr>
      <w:rFonts w:ascii="Calibri" w:hAnsi="Calibri" w:eastAsia="宋体" w:cs="Times New Roman"/>
      <w:kern w:val="0"/>
    </w:rPr>
  </w:style>
  <w:style w:type="character" w:customStyle="1" w:styleId="52">
    <w:name w:val="标题 3 Char"/>
    <w:basedOn w:val="30"/>
    <w:link w:val="4"/>
    <w:qFormat/>
    <w:uiPriority w:val="9"/>
    <w:rPr>
      <w:b/>
      <w:bCs/>
      <w:sz w:val="32"/>
      <w:szCs w:val="32"/>
    </w:rPr>
  </w:style>
  <w:style w:type="character" w:customStyle="1" w:styleId="53">
    <w:name w:val="标题 4 Char"/>
    <w:basedOn w:val="30"/>
    <w:link w:val="5"/>
    <w:qFormat/>
    <w:uiPriority w:val="9"/>
    <w:rPr>
      <w:rFonts w:asciiTheme="majorHAnsi" w:hAnsiTheme="majorHAnsi" w:eastAsiaTheme="majorEastAsia" w:cstheme="majorBidi"/>
      <w:b/>
      <w:bCs/>
      <w:sz w:val="28"/>
      <w:szCs w:val="28"/>
    </w:rPr>
  </w:style>
  <w:style w:type="character" w:customStyle="1" w:styleId="54">
    <w:name w:val="HTML 预设格式 Char"/>
    <w:basedOn w:val="30"/>
    <w:link w:val="25"/>
    <w:semiHidden/>
    <w:qFormat/>
    <w:uiPriority w:val="99"/>
    <w:rPr>
      <w:rFonts w:ascii="宋体" w:hAnsi="宋体" w:eastAsia="宋体" w:cs="宋体"/>
      <w:kern w:val="0"/>
      <w:sz w:val="24"/>
      <w:szCs w:val="24"/>
    </w:rPr>
  </w:style>
  <w:style w:type="character" w:customStyle="1" w:styleId="55">
    <w:name w:val="页眉 Char"/>
    <w:basedOn w:val="30"/>
    <w:link w:val="19"/>
    <w:qFormat/>
    <w:uiPriority w:val="99"/>
    <w:rPr>
      <w:sz w:val="18"/>
      <w:szCs w:val="18"/>
    </w:rPr>
  </w:style>
  <w:style w:type="character" w:customStyle="1" w:styleId="56">
    <w:name w:val="页脚 Char"/>
    <w:basedOn w:val="30"/>
    <w:link w:val="18"/>
    <w:qFormat/>
    <w:uiPriority w:val="99"/>
    <w:rPr>
      <w:rFonts w:ascii="宋体" w:hAnsi="宋体" w:eastAsia="宋体"/>
      <w:sz w:val="21"/>
      <w:szCs w:val="18"/>
    </w:rPr>
  </w:style>
  <w:style w:type="table" w:customStyle="1" w:styleId="57">
    <w:name w:val="网格型1"/>
    <w:basedOn w:val="2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8">
    <w:name w:val="批注框文本 Char"/>
    <w:basedOn w:val="30"/>
    <w:link w:val="17"/>
    <w:semiHidden/>
    <w:qFormat/>
    <w:uiPriority w:val="99"/>
    <w:rPr>
      <w:sz w:val="18"/>
      <w:szCs w:val="18"/>
    </w:rPr>
  </w:style>
  <w:style w:type="table" w:customStyle="1" w:styleId="59">
    <w:name w:val="网格型2"/>
    <w:basedOn w:val="2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
    <w:name w:val="网格型3"/>
    <w:basedOn w:val="28"/>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1">
    <w:name w:val="批注文字 Char"/>
    <w:basedOn w:val="30"/>
    <w:link w:val="12"/>
    <w:semiHidden/>
    <w:qFormat/>
    <w:uiPriority w:val="99"/>
  </w:style>
  <w:style w:type="character" w:customStyle="1" w:styleId="62">
    <w:name w:val="批注主题 Char"/>
    <w:basedOn w:val="61"/>
    <w:link w:val="27"/>
    <w:semiHidden/>
    <w:qFormat/>
    <w:uiPriority w:val="99"/>
    <w:rPr>
      <w:b/>
      <w:bCs/>
    </w:rPr>
  </w:style>
  <w:style w:type="paragraph" w:customStyle="1" w:styleId="6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character" w:customStyle="1" w:styleId="64">
    <w:name w:val="日期 Char"/>
    <w:basedOn w:val="30"/>
    <w:link w:val="16"/>
    <w:semiHidden/>
    <w:qFormat/>
    <w:uiPriority w:val="99"/>
  </w:style>
  <w:style w:type="paragraph" w:customStyle="1" w:styleId="65">
    <w:name w:val="术语定义"/>
    <w:basedOn w:val="38"/>
    <w:next w:val="38"/>
    <w:qFormat/>
    <w:uiPriority w:val="0"/>
    <w:pPr>
      <w:ind w:firstLine="1280" w:firstLineChars="400"/>
    </w:pPr>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microsoft.com/office/2006/relationships/keyMapCustomizations" Target="customizations.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B7247F-8277-4EA5-A113-B48F690FFD6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2498</Words>
  <Characters>14242</Characters>
  <Lines>118</Lines>
  <Paragraphs>33</Paragraphs>
  <TotalTime>2</TotalTime>
  <ScaleCrop>false</ScaleCrop>
  <LinksUpToDate>false</LinksUpToDate>
  <CharactersWithSpaces>16707</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2020-10-20T07:10:00Z</dcterms:created>
  <dc:creator>刘钊</dc:creator>
  <cp:lastModifiedBy>78164</cp:lastModifiedBy>
  <cp:lastPrinted>2020-04-09T02:02:00Z</cp:lastPrinted>
  <dcterms:modified xsi:type="dcterms:W3CDTF">2026-03-26T06:34:50Z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8DCE56107FF24F90AABC191B26370699</vt:lpwstr>
  </property>
</Properties>
</file>